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E17A" w14:textId="285FDBEA" w:rsidR="00F56C73" w:rsidRPr="00C04496" w:rsidRDefault="00973DCF">
      <w:pPr>
        <w:pStyle w:val="10"/>
        <w:keepNext/>
        <w:keepLines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671D9B2" wp14:editId="08B98BFC">
            <wp:simplePos x="0" y="0"/>
            <wp:positionH relativeFrom="column">
              <wp:posOffset>5323840</wp:posOffset>
            </wp:positionH>
            <wp:positionV relativeFrom="paragraph">
              <wp:posOffset>3810</wp:posOffset>
            </wp:positionV>
            <wp:extent cx="1183640" cy="1183640"/>
            <wp:effectExtent l="0" t="0" r="0" b="0"/>
            <wp:wrapTight wrapText="bothSides">
              <wp:wrapPolygon edited="0">
                <wp:start x="0" y="0"/>
                <wp:lineTo x="0" y="21206"/>
                <wp:lineTo x="21206" y="21206"/>
                <wp:lineTo x="2120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496">
        <w:rPr>
          <w:rStyle w:val="1"/>
          <w:b/>
          <w:bCs/>
          <w:lang w:val="ru-RU"/>
        </w:rPr>
        <w:t>Р</w:t>
      </w:r>
      <w:r w:rsidR="00C04496">
        <w:rPr>
          <w:rStyle w:val="1"/>
          <w:b/>
          <w:bCs/>
          <w:lang w:val="ru"/>
        </w:rPr>
        <w:t xml:space="preserve">УКОВОДСТВО ПО ПАРТНЕРСТВУ С </w:t>
      </w:r>
      <w:r w:rsidR="000C5F08">
        <w:rPr>
          <w:rStyle w:val="1"/>
          <w:b/>
          <w:bCs/>
          <w:lang w:val="ru"/>
        </w:rPr>
        <w:t>ОБЩЕСТВЕННЫМИ КОНСОРЦИУМАМИ</w:t>
      </w:r>
    </w:p>
    <w:p w14:paraId="2646D499" w14:textId="77777777" w:rsidR="00F56C73" w:rsidRPr="00973DCF" w:rsidRDefault="000C5F08">
      <w:pPr>
        <w:pStyle w:val="20"/>
        <w:spacing w:before="0" w:after="740" w:line="240" w:lineRule="auto"/>
        <w:jc w:val="left"/>
        <w:rPr>
          <w:lang w:val="ru-RU"/>
        </w:rPr>
      </w:pPr>
      <w:r>
        <w:rPr>
          <w:rStyle w:val="2"/>
          <w:lang w:val="ru"/>
        </w:rPr>
        <w:t>Отдел данных, аналитики, планирования и мониторинга, 2024 год</w:t>
      </w:r>
    </w:p>
    <w:p w14:paraId="731B6455" w14:textId="76F7C291" w:rsidR="00C04496" w:rsidRPr="00973DCF" w:rsidRDefault="00C04496">
      <w:pPr>
        <w:pStyle w:val="22"/>
        <w:keepNext/>
        <w:keepLines/>
        <w:spacing w:after="80"/>
        <w:jc w:val="both"/>
        <w:rPr>
          <w:lang w:val="ru-RU"/>
        </w:rPr>
      </w:pPr>
      <w:r>
        <w:rPr>
          <w:rStyle w:val="21"/>
          <w:b/>
          <w:bCs/>
          <w:lang w:val="ru"/>
        </w:rPr>
        <w:t>Введение</w:t>
      </w:r>
    </w:p>
    <w:p w14:paraId="4609B67B" w14:textId="2930DBD7" w:rsidR="00F56C73" w:rsidRPr="00973DCF" w:rsidRDefault="000C5F08">
      <w:pPr>
        <w:pStyle w:val="11"/>
        <w:jc w:val="both"/>
        <w:rPr>
          <w:lang w:val="ru-RU"/>
        </w:rPr>
      </w:pPr>
      <w:r>
        <w:rPr>
          <w:rStyle w:val="a"/>
          <w:lang w:val="ru"/>
        </w:rPr>
        <w:t xml:space="preserve">ЮНИСЕФ </w:t>
      </w:r>
      <w:r w:rsidR="008C7399">
        <w:rPr>
          <w:rStyle w:val="a"/>
          <w:lang w:val="ru"/>
        </w:rPr>
        <w:t>применяет</w:t>
      </w:r>
      <w:r>
        <w:rPr>
          <w:rStyle w:val="a"/>
          <w:lang w:val="ru"/>
        </w:rPr>
        <w:t xml:space="preserve"> </w:t>
      </w:r>
      <w:r w:rsidR="00973DCF">
        <w:rPr>
          <w:rStyle w:val="a"/>
          <w:lang w:val="ru"/>
        </w:rPr>
        <w:t>ряд</w:t>
      </w:r>
      <w:r>
        <w:rPr>
          <w:rStyle w:val="a"/>
          <w:lang w:val="ru"/>
        </w:rPr>
        <w:t xml:space="preserve"> критериев для </w:t>
      </w:r>
      <w:r w:rsidR="00973DCF">
        <w:rPr>
          <w:rStyle w:val="a"/>
          <w:lang w:val="ru"/>
        </w:rPr>
        <w:t>выбора</w:t>
      </w:r>
      <w:r>
        <w:rPr>
          <w:rStyle w:val="a"/>
          <w:lang w:val="ru"/>
        </w:rPr>
        <w:t xml:space="preserve"> партнеров из гражданского общества, обладающих наибольшими сравнительными преимуществами, </w:t>
      </w:r>
      <w:r w:rsidR="001D004C">
        <w:rPr>
          <w:rStyle w:val="a"/>
          <w:lang w:val="ru-RU"/>
        </w:rPr>
        <w:t>для</w:t>
      </w:r>
      <w:r w:rsidR="00973DCF">
        <w:rPr>
          <w:rStyle w:val="a"/>
          <w:lang w:val="ru"/>
        </w:rPr>
        <w:t xml:space="preserve"> обеспеч</w:t>
      </w:r>
      <w:r w:rsidR="001D004C">
        <w:rPr>
          <w:rStyle w:val="a"/>
          <w:lang w:val="ru"/>
        </w:rPr>
        <w:t>ения</w:t>
      </w:r>
      <w:r>
        <w:rPr>
          <w:rStyle w:val="a"/>
          <w:lang w:val="ru"/>
        </w:rPr>
        <w:t xml:space="preserve"> совместн</w:t>
      </w:r>
      <w:r w:rsidR="001D004C">
        <w:rPr>
          <w:rStyle w:val="a"/>
          <w:lang w:val="ru"/>
        </w:rPr>
        <w:t>ой</w:t>
      </w:r>
      <w:r>
        <w:rPr>
          <w:rStyle w:val="a"/>
          <w:lang w:val="ru"/>
        </w:rPr>
        <w:t xml:space="preserve"> разработк</w:t>
      </w:r>
      <w:r w:rsidR="001D004C">
        <w:rPr>
          <w:rStyle w:val="a"/>
          <w:lang w:val="ru"/>
        </w:rPr>
        <w:t>и</w:t>
      </w:r>
      <w:r>
        <w:rPr>
          <w:rStyle w:val="a"/>
          <w:lang w:val="ru"/>
        </w:rPr>
        <w:t xml:space="preserve"> и </w:t>
      </w:r>
      <w:r w:rsidR="00973DCF">
        <w:rPr>
          <w:rStyle w:val="a"/>
          <w:lang w:val="ru"/>
        </w:rPr>
        <w:t>выполнени</w:t>
      </w:r>
      <w:r w:rsidR="001D004C">
        <w:rPr>
          <w:rStyle w:val="a"/>
          <w:lang w:val="ru"/>
        </w:rPr>
        <w:t>я</w:t>
      </w:r>
      <w:r w:rsidR="00973DCF">
        <w:rPr>
          <w:rStyle w:val="a"/>
          <w:lang w:val="ru"/>
        </w:rPr>
        <w:t xml:space="preserve"> </w:t>
      </w:r>
      <w:r>
        <w:rPr>
          <w:rStyle w:val="a"/>
          <w:lang w:val="ru"/>
        </w:rPr>
        <w:t xml:space="preserve">программ с ЮНИСЕФ. </w:t>
      </w:r>
      <w:r w:rsidR="00973DCF">
        <w:rPr>
          <w:rStyle w:val="a"/>
          <w:lang w:val="ru"/>
        </w:rPr>
        <w:t>Эти критерии включают</w:t>
      </w:r>
      <w:r>
        <w:rPr>
          <w:rStyle w:val="a"/>
          <w:lang w:val="ru"/>
        </w:rPr>
        <w:t xml:space="preserve"> отраслев</w:t>
      </w:r>
      <w:r w:rsidR="00973DCF">
        <w:rPr>
          <w:rStyle w:val="a"/>
          <w:lang w:val="ru"/>
        </w:rPr>
        <w:t>ой опыт работы</w:t>
      </w:r>
      <w:r>
        <w:rPr>
          <w:rStyle w:val="a"/>
          <w:lang w:val="ru"/>
        </w:rPr>
        <w:t xml:space="preserve">, присутствие на местах, инновации, </w:t>
      </w:r>
      <w:r w:rsidR="00973DCF">
        <w:rPr>
          <w:rStyle w:val="a"/>
          <w:lang w:val="ru"/>
        </w:rPr>
        <w:t>вопросы</w:t>
      </w:r>
      <w:r>
        <w:rPr>
          <w:rStyle w:val="a"/>
          <w:lang w:val="ru"/>
        </w:rPr>
        <w:t xml:space="preserve"> доступа/безопасности и управленческие </w:t>
      </w:r>
      <w:r w:rsidR="00973DCF">
        <w:rPr>
          <w:rStyle w:val="a"/>
          <w:lang w:val="ru"/>
        </w:rPr>
        <w:t>возможности</w:t>
      </w:r>
      <w:r>
        <w:rPr>
          <w:rStyle w:val="a"/>
          <w:lang w:val="ru"/>
        </w:rPr>
        <w:t xml:space="preserve">. ЮНИСЕФ признает, что, вступая в консорциумы, некоторые субъекты гражданского общества, особенно местные и национальные организации, могут получить </w:t>
      </w:r>
      <w:r w:rsidR="00973DCF">
        <w:rPr>
          <w:rStyle w:val="a"/>
          <w:lang w:val="ru"/>
        </w:rPr>
        <w:t xml:space="preserve">возможность использовать </w:t>
      </w:r>
      <w:r>
        <w:rPr>
          <w:rStyle w:val="a"/>
          <w:lang w:val="ru"/>
        </w:rPr>
        <w:t>бол</w:t>
      </w:r>
      <w:r w:rsidR="00973DCF">
        <w:rPr>
          <w:rStyle w:val="a"/>
          <w:lang w:val="ru"/>
        </w:rPr>
        <w:t>ее широкий опыт</w:t>
      </w:r>
      <w:r>
        <w:rPr>
          <w:rStyle w:val="a"/>
          <w:lang w:val="ru"/>
        </w:rPr>
        <w:t xml:space="preserve">, географический охват, оперативный потенциал и управленческие </w:t>
      </w:r>
      <w:r w:rsidR="00973DCF">
        <w:rPr>
          <w:rStyle w:val="a"/>
          <w:lang w:val="ru"/>
        </w:rPr>
        <w:t>возможности</w:t>
      </w:r>
      <w:r>
        <w:rPr>
          <w:rStyle w:val="a"/>
          <w:lang w:val="ru"/>
        </w:rPr>
        <w:t xml:space="preserve">. В связи с этим ЮНИСЕФ рекомендует </w:t>
      </w:r>
      <w:r w:rsidR="00973DCF">
        <w:rPr>
          <w:rStyle w:val="a"/>
          <w:lang w:val="ru"/>
        </w:rPr>
        <w:t xml:space="preserve">организациям гражданского общества (ОГО) объединяться в </w:t>
      </w:r>
      <w:r>
        <w:rPr>
          <w:rStyle w:val="a"/>
          <w:lang w:val="ru"/>
        </w:rPr>
        <w:t>консорциум</w:t>
      </w:r>
      <w:r w:rsidR="00973DCF">
        <w:rPr>
          <w:rStyle w:val="a"/>
          <w:lang w:val="ru"/>
        </w:rPr>
        <w:t>ы</w:t>
      </w:r>
      <w:r>
        <w:rPr>
          <w:rStyle w:val="a"/>
          <w:lang w:val="ru"/>
        </w:rPr>
        <w:t xml:space="preserve"> </w:t>
      </w:r>
      <w:r w:rsidR="00973DCF">
        <w:rPr>
          <w:rStyle w:val="a"/>
          <w:lang w:val="ru"/>
        </w:rPr>
        <w:t xml:space="preserve">для реализации </w:t>
      </w:r>
      <w:r>
        <w:rPr>
          <w:rStyle w:val="a"/>
          <w:lang w:val="ru"/>
        </w:rPr>
        <w:t>масштабн</w:t>
      </w:r>
      <w:r w:rsidR="00973DCF">
        <w:rPr>
          <w:rStyle w:val="a"/>
          <w:lang w:val="ru"/>
        </w:rPr>
        <w:t>ых программ</w:t>
      </w:r>
      <w:r>
        <w:rPr>
          <w:rStyle w:val="a"/>
          <w:lang w:val="ru"/>
        </w:rPr>
        <w:t xml:space="preserve">, </w:t>
      </w:r>
      <w:r w:rsidR="00973DCF">
        <w:rPr>
          <w:rStyle w:val="a"/>
          <w:lang w:val="ru"/>
        </w:rPr>
        <w:t xml:space="preserve">которые одна </w:t>
      </w:r>
      <w:r w:rsidR="00A17FC6">
        <w:rPr>
          <w:rStyle w:val="a"/>
          <w:lang w:val="ru"/>
        </w:rPr>
        <w:t xml:space="preserve">организация не </w:t>
      </w:r>
      <w:r w:rsidR="001D004C">
        <w:rPr>
          <w:rStyle w:val="a"/>
          <w:lang w:val="ru"/>
        </w:rPr>
        <w:t>может</w:t>
      </w:r>
      <w:r w:rsidR="00A17FC6">
        <w:rPr>
          <w:rStyle w:val="a"/>
          <w:lang w:val="ru"/>
        </w:rPr>
        <w:t xml:space="preserve"> выполнить самостоятельно</w:t>
      </w:r>
      <w:r>
        <w:rPr>
          <w:rStyle w:val="a"/>
          <w:lang w:val="ru"/>
        </w:rPr>
        <w:t>.</w:t>
      </w:r>
    </w:p>
    <w:p w14:paraId="7DAA72CF" w14:textId="65DCF6E7" w:rsidR="00F56C73" w:rsidRPr="00973DCF" w:rsidRDefault="000C5F08">
      <w:pPr>
        <w:pStyle w:val="11"/>
        <w:jc w:val="both"/>
        <w:rPr>
          <w:lang w:val="ru-RU"/>
        </w:rPr>
      </w:pPr>
      <w:r>
        <w:rPr>
          <w:rStyle w:val="a"/>
          <w:lang w:val="ru"/>
        </w:rPr>
        <w:t>ЮНИСЕФ признает, что партнерство с консорциумами гражданского общества может принести пользу</w:t>
      </w:r>
      <w:r w:rsidR="00A17FC6">
        <w:rPr>
          <w:rStyle w:val="a"/>
          <w:lang w:val="ru"/>
        </w:rPr>
        <w:t>,</w:t>
      </w:r>
      <w:r>
        <w:rPr>
          <w:rStyle w:val="a"/>
          <w:lang w:val="ru"/>
        </w:rPr>
        <w:t xml:space="preserve"> </w:t>
      </w:r>
      <w:r w:rsidR="00A17FC6">
        <w:rPr>
          <w:rStyle w:val="a"/>
          <w:lang w:val="ru"/>
        </w:rPr>
        <w:t xml:space="preserve">как самой организации, так и </w:t>
      </w:r>
      <w:r>
        <w:rPr>
          <w:rStyle w:val="a"/>
          <w:lang w:val="ru"/>
        </w:rPr>
        <w:t>участникам</w:t>
      </w:r>
      <w:r w:rsidR="00A17FC6">
        <w:rPr>
          <w:rStyle w:val="a"/>
          <w:lang w:val="ru"/>
        </w:rPr>
        <w:t xml:space="preserve"> </w:t>
      </w:r>
      <w:r>
        <w:rPr>
          <w:rStyle w:val="a"/>
          <w:lang w:val="ru"/>
        </w:rPr>
        <w:t xml:space="preserve">консорциума, а также детям и </w:t>
      </w:r>
      <w:r w:rsidR="00A17FC6">
        <w:rPr>
          <w:rStyle w:val="a"/>
          <w:lang w:val="ru"/>
        </w:rPr>
        <w:t>сообществам, которым мы оказываем поддержку</w:t>
      </w:r>
      <w:r>
        <w:rPr>
          <w:rStyle w:val="a"/>
          <w:lang w:val="ru"/>
        </w:rPr>
        <w:t xml:space="preserve">. Для ЮНИСЕФ партнерство с консорциумами </w:t>
      </w:r>
      <w:r w:rsidR="00A17FC6">
        <w:rPr>
          <w:rStyle w:val="a"/>
          <w:lang w:val="ru"/>
        </w:rPr>
        <w:t xml:space="preserve">предполагает </w:t>
      </w:r>
      <w:r>
        <w:rPr>
          <w:rStyle w:val="a"/>
          <w:lang w:val="ru"/>
        </w:rPr>
        <w:t>сокращ</w:t>
      </w:r>
      <w:r w:rsidR="00A17FC6">
        <w:rPr>
          <w:rStyle w:val="a"/>
          <w:lang w:val="ru"/>
        </w:rPr>
        <w:t>ение</w:t>
      </w:r>
      <w:r>
        <w:rPr>
          <w:rStyle w:val="a"/>
          <w:lang w:val="ru"/>
        </w:rPr>
        <w:t xml:space="preserve"> </w:t>
      </w:r>
      <w:r w:rsidR="00A17FC6">
        <w:rPr>
          <w:rStyle w:val="a"/>
          <w:lang w:val="ru"/>
        </w:rPr>
        <w:t>ряда</w:t>
      </w:r>
      <w:r>
        <w:rPr>
          <w:rStyle w:val="a"/>
          <w:lang w:val="ru"/>
        </w:rPr>
        <w:t xml:space="preserve"> </w:t>
      </w:r>
      <w:r w:rsidR="00A17FC6">
        <w:rPr>
          <w:rStyle w:val="a"/>
          <w:lang w:val="ru"/>
        </w:rPr>
        <w:t>отдельных</w:t>
      </w:r>
      <w:r>
        <w:rPr>
          <w:rStyle w:val="a"/>
          <w:lang w:val="ru"/>
        </w:rPr>
        <w:t xml:space="preserve"> соглашений о партнерстве, которые необходимо разрабатывать и контролировать, и, таким образом, сокращает общее количество обрабатываемых </w:t>
      </w:r>
      <w:r w:rsidR="00A17FC6">
        <w:rPr>
          <w:rStyle w:val="a"/>
          <w:lang w:val="ru"/>
        </w:rPr>
        <w:t>форм</w:t>
      </w:r>
      <w:r>
        <w:rPr>
          <w:rStyle w:val="a"/>
          <w:lang w:val="ru"/>
        </w:rPr>
        <w:t xml:space="preserve"> </w:t>
      </w:r>
      <w:r w:rsidR="001D004C">
        <w:rPr>
          <w:rStyle w:val="a"/>
          <w:lang w:val="ru-RU"/>
        </w:rPr>
        <w:t>РФСР</w:t>
      </w:r>
      <w:r w:rsidR="00A17FC6" w:rsidRPr="00A17FC6">
        <w:rPr>
          <w:rStyle w:val="a"/>
          <w:lang w:val="ru-RU"/>
        </w:rPr>
        <w:t xml:space="preserve"> </w:t>
      </w:r>
      <w:r w:rsidR="00A17FC6">
        <w:rPr>
          <w:rStyle w:val="a"/>
          <w:lang w:val="ru"/>
        </w:rPr>
        <w:t>и проводимой деятельности по проверке</w:t>
      </w:r>
      <w:r>
        <w:rPr>
          <w:rStyle w:val="a"/>
          <w:lang w:val="ru"/>
        </w:rPr>
        <w:t xml:space="preserve">. Для организаций гражданского общества механизм консорциума может повысить вероятность партнерства с ЮНИСЕФ по сравнению с самостоятельными инициативами отдельных </w:t>
      </w:r>
      <w:r w:rsidR="00A17FC6">
        <w:rPr>
          <w:rStyle w:val="a"/>
          <w:lang w:val="ru"/>
        </w:rPr>
        <w:t>ОГО</w:t>
      </w:r>
      <w:r>
        <w:rPr>
          <w:rStyle w:val="a"/>
          <w:lang w:val="ru"/>
        </w:rPr>
        <w:t xml:space="preserve">, а также может способствовать передаче навыков и наращиванию потенциала. </w:t>
      </w:r>
      <w:r w:rsidR="00A17FC6">
        <w:rPr>
          <w:rStyle w:val="a"/>
          <w:lang w:val="ru"/>
        </w:rPr>
        <w:t>Что касается</w:t>
      </w:r>
      <w:r>
        <w:rPr>
          <w:rStyle w:val="a"/>
          <w:lang w:val="ru"/>
        </w:rPr>
        <w:t xml:space="preserve"> сообществ</w:t>
      </w:r>
      <w:r w:rsidR="00A17FC6">
        <w:rPr>
          <w:rStyle w:val="a"/>
          <w:lang w:val="ru"/>
        </w:rPr>
        <w:t>,</w:t>
      </w:r>
      <w:r>
        <w:rPr>
          <w:rStyle w:val="a"/>
          <w:lang w:val="ru"/>
        </w:rPr>
        <w:t xml:space="preserve"> партнерство в рамках консорциума может привести к более скоординированным и взаимодополняющим мероприятиям</w:t>
      </w:r>
      <w:r w:rsidR="00A17FC6">
        <w:rPr>
          <w:rStyle w:val="a"/>
          <w:lang w:val="ru"/>
        </w:rPr>
        <w:t xml:space="preserve"> по программе</w:t>
      </w:r>
      <w:r>
        <w:rPr>
          <w:rStyle w:val="a"/>
          <w:lang w:val="ru"/>
        </w:rPr>
        <w:t>.</w:t>
      </w:r>
    </w:p>
    <w:p w14:paraId="305670C8" w14:textId="052C1E55" w:rsidR="001D004C" w:rsidRPr="00973DCF" w:rsidRDefault="001D004C">
      <w:pPr>
        <w:pStyle w:val="22"/>
        <w:keepNext/>
        <w:keepLines/>
        <w:spacing w:after="40"/>
        <w:jc w:val="both"/>
        <w:rPr>
          <w:lang w:val="ru-RU"/>
        </w:rPr>
      </w:pPr>
      <w:r>
        <w:rPr>
          <w:rStyle w:val="21"/>
          <w:b/>
          <w:bCs/>
          <w:lang w:val="ru"/>
        </w:rPr>
        <w:t>Определения</w:t>
      </w:r>
    </w:p>
    <w:p w14:paraId="0F65D04F" w14:textId="77777777" w:rsidR="00F56C73" w:rsidRPr="00973DCF" w:rsidRDefault="000C5F08">
      <w:pPr>
        <w:pStyle w:val="11"/>
        <w:jc w:val="both"/>
        <w:rPr>
          <w:lang w:val="ru-RU"/>
        </w:rPr>
      </w:pPr>
      <w:r>
        <w:rPr>
          <w:rStyle w:val="a"/>
          <w:lang w:val="ru"/>
        </w:rPr>
        <w:t xml:space="preserve">ЮНИСЕФ определяет </w:t>
      </w:r>
      <w:r w:rsidR="00A17FC6">
        <w:rPr>
          <w:rStyle w:val="a"/>
          <w:b/>
          <w:bCs/>
          <w:lang w:val="ru"/>
        </w:rPr>
        <w:t>«</w:t>
      </w:r>
      <w:r>
        <w:rPr>
          <w:rStyle w:val="a"/>
          <w:b/>
          <w:bCs/>
          <w:lang w:val="ru"/>
        </w:rPr>
        <w:t>Партнера</w:t>
      </w:r>
      <w:r w:rsidR="00A17FC6">
        <w:rPr>
          <w:rStyle w:val="a"/>
          <w:b/>
          <w:bCs/>
          <w:lang w:val="ru"/>
        </w:rPr>
        <w:t>»</w:t>
      </w:r>
      <w:r>
        <w:rPr>
          <w:rStyle w:val="a"/>
          <w:lang w:val="ru"/>
        </w:rPr>
        <w:t xml:space="preserve"> из гражданского общества как юридическое лицо, которому </w:t>
      </w:r>
      <w:r w:rsidR="00A17FC6">
        <w:rPr>
          <w:rStyle w:val="a"/>
          <w:lang w:val="ru"/>
        </w:rPr>
        <w:t>организация</w:t>
      </w:r>
      <w:r>
        <w:rPr>
          <w:rStyle w:val="a"/>
          <w:lang w:val="ru"/>
        </w:rPr>
        <w:t xml:space="preserve"> поруч</w:t>
      </w:r>
      <w:r w:rsidR="00A17FC6">
        <w:rPr>
          <w:rStyle w:val="a"/>
          <w:lang w:val="ru"/>
        </w:rPr>
        <w:t>ает</w:t>
      </w:r>
      <w:r>
        <w:rPr>
          <w:rStyle w:val="a"/>
          <w:lang w:val="ru"/>
        </w:rPr>
        <w:t xml:space="preserve"> реализацию программ и проектов, указанных в подписанном Соглашении о сотрудничестве в рамках п</w:t>
      </w:r>
      <w:r w:rsidR="00A17FC6">
        <w:rPr>
          <w:rStyle w:val="a"/>
          <w:lang w:val="ru"/>
        </w:rPr>
        <w:t>рограммы (С</w:t>
      </w:r>
      <w:r>
        <w:rPr>
          <w:rStyle w:val="a"/>
          <w:lang w:val="ru"/>
        </w:rPr>
        <w:t>С</w:t>
      </w:r>
      <w:r w:rsidR="00A17FC6">
        <w:rPr>
          <w:rStyle w:val="a"/>
          <w:lang w:val="ru"/>
        </w:rPr>
        <w:t>П</w:t>
      </w:r>
      <w:r>
        <w:rPr>
          <w:rStyle w:val="a"/>
          <w:lang w:val="ru"/>
        </w:rPr>
        <w:t>) и Программном документе</w:t>
      </w:r>
      <w:r w:rsidR="00A17FC6">
        <w:rPr>
          <w:rStyle w:val="a"/>
          <w:lang w:val="ru"/>
        </w:rPr>
        <w:t xml:space="preserve">. Такой партнер несет полную </w:t>
      </w:r>
      <w:r>
        <w:rPr>
          <w:rStyle w:val="a"/>
          <w:lang w:val="ru"/>
        </w:rPr>
        <w:t>ответственност</w:t>
      </w:r>
      <w:r w:rsidR="00A17FC6">
        <w:rPr>
          <w:rStyle w:val="a"/>
          <w:lang w:val="ru"/>
        </w:rPr>
        <w:t>ь</w:t>
      </w:r>
      <w:r>
        <w:rPr>
          <w:rStyle w:val="a"/>
          <w:lang w:val="ru"/>
        </w:rPr>
        <w:t xml:space="preserve"> и подотчетност</w:t>
      </w:r>
      <w:r w:rsidR="00A17FC6">
        <w:rPr>
          <w:rStyle w:val="a"/>
          <w:lang w:val="ru"/>
        </w:rPr>
        <w:t>ь</w:t>
      </w:r>
      <w:r>
        <w:rPr>
          <w:rStyle w:val="a"/>
          <w:lang w:val="ru"/>
        </w:rPr>
        <w:t xml:space="preserve"> за эффективное использование ресурсов и достижение результатов</w:t>
      </w:r>
      <w:r w:rsidR="00A17FC6">
        <w:rPr>
          <w:rStyle w:val="a"/>
          <w:lang w:val="ru"/>
        </w:rPr>
        <w:t>, предусмотренных в соглашении</w:t>
      </w:r>
      <w:r>
        <w:rPr>
          <w:rStyle w:val="a"/>
          <w:lang w:val="ru"/>
        </w:rPr>
        <w:t>.</w:t>
      </w:r>
    </w:p>
    <w:p w14:paraId="4FF50D36" w14:textId="2D1D9281" w:rsidR="00F56C73" w:rsidRPr="00973DCF" w:rsidRDefault="000C5F08">
      <w:pPr>
        <w:pStyle w:val="11"/>
        <w:jc w:val="both"/>
        <w:rPr>
          <w:lang w:val="ru-RU"/>
        </w:rPr>
      </w:pPr>
      <w:r>
        <w:rPr>
          <w:rStyle w:val="a"/>
          <w:lang w:val="ru"/>
        </w:rPr>
        <w:t xml:space="preserve">ЮНИСЕФ определяет </w:t>
      </w:r>
      <w:r w:rsidR="00A17FC6">
        <w:rPr>
          <w:rStyle w:val="a"/>
          <w:b/>
          <w:bCs/>
          <w:lang w:val="ru"/>
        </w:rPr>
        <w:t>«</w:t>
      </w:r>
      <w:r w:rsidR="001D004C">
        <w:rPr>
          <w:rStyle w:val="a"/>
          <w:b/>
          <w:bCs/>
          <w:lang w:val="ru"/>
        </w:rPr>
        <w:t>К</w:t>
      </w:r>
      <w:r>
        <w:rPr>
          <w:rStyle w:val="a"/>
          <w:b/>
          <w:bCs/>
          <w:lang w:val="ru"/>
        </w:rPr>
        <w:t>онсорциум гражданского общества</w:t>
      </w:r>
      <w:r w:rsidR="00A17FC6">
        <w:rPr>
          <w:rStyle w:val="a"/>
          <w:b/>
          <w:bCs/>
          <w:lang w:val="ru"/>
        </w:rPr>
        <w:t>»</w:t>
      </w:r>
      <w:r>
        <w:rPr>
          <w:rStyle w:val="a"/>
          <w:lang w:val="ru"/>
        </w:rPr>
        <w:t xml:space="preserve"> как соглашение о сотрудничестве между двумя или более орган</w:t>
      </w:r>
      <w:r w:rsidR="00A17FC6">
        <w:rPr>
          <w:rStyle w:val="a"/>
          <w:lang w:val="ru"/>
        </w:rPr>
        <w:t>изациями гражданского общества для реализации определенной</w:t>
      </w:r>
      <w:r>
        <w:rPr>
          <w:rStyle w:val="a"/>
          <w:lang w:val="ru"/>
        </w:rPr>
        <w:t xml:space="preserve"> программы. В рамках консорциум</w:t>
      </w:r>
      <w:r w:rsidR="000C20E2">
        <w:rPr>
          <w:rStyle w:val="a"/>
          <w:lang w:val="ru"/>
        </w:rPr>
        <w:t>а</w:t>
      </w:r>
      <w:r>
        <w:rPr>
          <w:rStyle w:val="a"/>
          <w:lang w:val="ru"/>
        </w:rPr>
        <w:t xml:space="preserve"> несколько </w:t>
      </w:r>
      <w:r w:rsidR="000C20E2">
        <w:rPr>
          <w:rStyle w:val="a"/>
          <w:lang w:val="ru"/>
        </w:rPr>
        <w:t>ОГО</w:t>
      </w:r>
      <w:r>
        <w:rPr>
          <w:rStyle w:val="a"/>
          <w:lang w:val="ru"/>
        </w:rPr>
        <w:t xml:space="preserve"> работают в сотрудничестве, при</w:t>
      </w:r>
      <w:r w:rsidR="000C20E2">
        <w:rPr>
          <w:rStyle w:val="a"/>
          <w:lang w:val="ru"/>
        </w:rPr>
        <w:t xml:space="preserve"> этом </w:t>
      </w:r>
      <w:r>
        <w:rPr>
          <w:rStyle w:val="a"/>
          <w:lang w:val="ru"/>
        </w:rPr>
        <w:t xml:space="preserve">каждый участник консорциума </w:t>
      </w:r>
      <w:r w:rsidR="000C20E2">
        <w:rPr>
          <w:rStyle w:val="a"/>
          <w:lang w:val="ru"/>
        </w:rPr>
        <w:t>реализует</w:t>
      </w:r>
      <w:r>
        <w:rPr>
          <w:rStyle w:val="a"/>
          <w:lang w:val="ru"/>
        </w:rPr>
        <w:t xml:space="preserve"> </w:t>
      </w:r>
      <w:r w:rsidR="000C20E2">
        <w:rPr>
          <w:rStyle w:val="a"/>
          <w:lang w:val="ru"/>
        </w:rPr>
        <w:t xml:space="preserve">либо </w:t>
      </w:r>
      <w:r>
        <w:rPr>
          <w:rStyle w:val="a"/>
          <w:lang w:val="ru"/>
        </w:rPr>
        <w:t xml:space="preserve">один и тот же </w:t>
      </w:r>
      <w:r w:rsidR="000C20E2">
        <w:rPr>
          <w:rStyle w:val="a"/>
          <w:lang w:val="ru"/>
        </w:rPr>
        <w:t>набор</w:t>
      </w:r>
      <w:r>
        <w:rPr>
          <w:rStyle w:val="a"/>
          <w:lang w:val="ru"/>
        </w:rPr>
        <w:t xml:space="preserve"> программных мероприятий в разных географических </w:t>
      </w:r>
      <w:r w:rsidR="000C20E2">
        <w:rPr>
          <w:rStyle w:val="a"/>
          <w:lang w:val="ru"/>
        </w:rPr>
        <w:t>регионах</w:t>
      </w:r>
      <w:r>
        <w:rPr>
          <w:rStyle w:val="a"/>
          <w:lang w:val="ru"/>
        </w:rPr>
        <w:t xml:space="preserve">, либо </w:t>
      </w:r>
      <w:r w:rsidR="000C20E2">
        <w:rPr>
          <w:rStyle w:val="a"/>
          <w:lang w:val="ru"/>
        </w:rPr>
        <w:t xml:space="preserve">взаимодополняющие мероприятия в </w:t>
      </w:r>
      <w:r>
        <w:rPr>
          <w:rStyle w:val="a"/>
          <w:lang w:val="ru"/>
        </w:rPr>
        <w:t xml:space="preserve">одних и тех же </w:t>
      </w:r>
      <w:r w:rsidR="000C20E2">
        <w:rPr>
          <w:rStyle w:val="a"/>
          <w:lang w:val="ru"/>
        </w:rPr>
        <w:t>регионах</w:t>
      </w:r>
      <w:r>
        <w:rPr>
          <w:rStyle w:val="a"/>
          <w:lang w:val="ru"/>
        </w:rPr>
        <w:t xml:space="preserve">. ЮНИСЕФ признает два типа консорциумов: </w:t>
      </w:r>
      <w:r w:rsidR="000C20E2">
        <w:rPr>
          <w:rStyle w:val="a"/>
          <w:lang w:val="ru"/>
        </w:rPr>
        <w:t>формальные</w:t>
      </w:r>
      <w:r>
        <w:rPr>
          <w:rStyle w:val="a"/>
          <w:lang w:val="ru"/>
        </w:rPr>
        <w:t xml:space="preserve"> консорциумы и </w:t>
      </w:r>
      <w:r w:rsidR="000C20E2">
        <w:rPr>
          <w:rStyle w:val="a"/>
          <w:lang w:val="ru"/>
        </w:rPr>
        <w:t>неформальные</w:t>
      </w:r>
      <w:r>
        <w:rPr>
          <w:rStyle w:val="a"/>
          <w:lang w:val="ru"/>
        </w:rPr>
        <w:t xml:space="preserve"> консорциумы.</w:t>
      </w:r>
    </w:p>
    <w:p w14:paraId="0708B866" w14:textId="6B944439" w:rsidR="00F56C73" w:rsidRPr="00973DCF" w:rsidRDefault="000C5F08" w:rsidP="001D004C">
      <w:pPr>
        <w:pStyle w:val="11"/>
        <w:jc w:val="both"/>
        <w:rPr>
          <w:lang w:val="ru-RU"/>
        </w:rPr>
      </w:pPr>
      <w:r>
        <w:rPr>
          <w:rStyle w:val="a"/>
          <w:lang w:val="ru"/>
        </w:rPr>
        <w:t>В рамках соглашения</w:t>
      </w:r>
      <w:r w:rsidR="000C20E2">
        <w:rPr>
          <w:rStyle w:val="a"/>
          <w:lang w:val="ru"/>
        </w:rPr>
        <w:t xml:space="preserve"> о</w:t>
      </w:r>
      <w:r>
        <w:rPr>
          <w:rStyle w:val="a"/>
          <w:lang w:val="ru"/>
        </w:rPr>
        <w:t xml:space="preserve"> </w:t>
      </w:r>
      <w:r w:rsidR="000C20E2">
        <w:rPr>
          <w:rStyle w:val="a"/>
          <w:b/>
          <w:bCs/>
          <w:lang w:val="ru"/>
        </w:rPr>
        <w:t>«</w:t>
      </w:r>
      <w:r w:rsidR="001D004C">
        <w:rPr>
          <w:rStyle w:val="a"/>
          <w:b/>
          <w:bCs/>
          <w:lang w:val="ru"/>
        </w:rPr>
        <w:t>Ф</w:t>
      </w:r>
      <w:r w:rsidR="000C20E2">
        <w:rPr>
          <w:rStyle w:val="a"/>
          <w:b/>
          <w:bCs/>
          <w:lang w:val="ru"/>
        </w:rPr>
        <w:t>ормальном</w:t>
      </w:r>
      <w:r>
        <w:rPr>
          <w:rStyle w:val="a"/>
          <w:b/>
          <w:bCs/>
          <w:lang w:val="ru"/>
        </w:rPr>
        <w:t xml:space="preserve"> консорциуме</w:t>
      </w:r>
      <w:r w:rsidR="000C20E2">
        <w:rPr>
          <w:rStyle w:val="a"/>
          <w:b/>
          <w:bCs/>
          <w:lang w:val="ru"/>
        </w:rPr>
        <w:t>»</w:t>
      </w:r>
      <w:r>
        <w:rPr>
          <w:rStyle w:val="a"/>
          <w:lang w:val="ru"/>
        </w:rPr>
        <w:t xml:space="preserve"> две или более организации гражданского общества объединяются для создания новой, официально учрежденной организации с собственной юридической идентичностью. </w:t>
      </w:r>
      <w:r w:rsidR="000C20E2">
        <w:rPr>
          <w:rStyle w:val="a"/>
          <w:lang w:val="ru"/>
        </w:rPr>
        <w:t>Формальный</w:t>
      </w:r>
      <w:r>
        <w:rPr>
          <w:rStyle w:val="a"/>
          <w:lang w:val="ru"/>
        </w:rPr>
        <w:t xml:space="preserve"> консорциум, как правило, имеет собственные организационные счета, документированную структуру управления и свидетельство о регистрации, выданное соответствующими </w:t>
      </w:r>
      <w:r>
        <w:rPr>
          <w:rStyle w:val="a"/>
          <w:lang w:val="ru"/>
        </w:rPr>
        <w:lastRenderedPageBreak/>
        <w:t xml:space="preserve">государственными органами. </w:t>
      </w:r>
      <w:r w:rsidR="001D004C">
        <w:rPr>
          <w:rStyle w:val="a"/>
          <w:lang w:val="ru"/>
        </w:rPr>
        <w:t xml:space="preserve">В качестве партнера ЮНИСЕФ </w:t>
      </w:r>
      <w:r w:rsidR="000C20E2">
        <w:rPr>
          <w:rStyle w:val="a"/>
          <w:lang w:val="ru"/>
        </w:rPr>
        <w:t>Формальный</w:t>
      </w:r>
      <w:r>
        <w:rPr>
          <w:rStyle w:val="a"/>
          <w:lang w:val="ru"/>
        </w:rPr>
        <w:t xml:space="preserve"> </w:t>
      </w:r>
      <w:r w:rsidR="001D004C">
        <w:rPr>
          <w:rStyle w:val="a"/>
          <w:lang w:val="ru"/>
        </w:rPr>
        <w:t>к</w:t>
      </w:r>
      <w:r>
        <w:rPr>
          <w:rStyle w:val="a"/>
          <w:lang w:val="ru"/>
        </w:rPr>
        <w:t>онсорциум имеет право подпис</w:t>
      </w:r>
      <w:r w:rsidR="000C20E2">
        <w:rPr>
          <w:rStyle w:val="a"/>
          <w:lang w:val="ru"/>
        </w:rPr>
        <w:t>ыв</w:t>
      </w:r>
      <w:r>
        <w:rPr>
          <w:rStyle w:val="a"/>
          <w:lang w:val="ru"/>
        </w:rPr>
        <w:t xml:space="preserve">ать Соглашение о сотрудничестве и </w:t>
      </w:r>
      <w:r w:rsidR="000C20E2">
        <w:rPr>
          <w:rStyle w:val="a"/>
          <w:lang w:val="ru"/>
        </w:rPr>
        <w:t xml:space="preserve">Программный </w:t>
      </w:r>
      <w:r>
        <w:rPr>
          <w:rStyle w:val="a"/>
          <w:lang w:val="ru"/>
        </w:rPr>
        <w:t>документ.</w:t>
      </w:r>
    </w:p>
    <w:p w14:paraId="7496C41E" w14:textId="33BF5F5A" w:rsidR="00F56C73" w:rsidRPr="00973DCF" w:rsidRDefault="000C5F08" w:rsidP="00413958">
      <w:pPr>
        <w:pStyle w:val="11"/>
        <w:jc w:val="both"/>
        <w:rPr>
          <w:lang w:val="ru-RU"/>
        </w:rPr>
      </w:pPr>
      <w:r>
        <w:rPr>
          <w:rStyle w:val="a"/>
          <w:lang w:val="ru"/>
        </w:rPr>
        <w:t xml:space="preserve">В рамках </w:t>
      </w:r>
      <w:r w:rsidR="000C20E2">
        <w:rPr>
          <w:rStyle w:val="a"/>
          <w:lang w:val="ru"/>
        </w:rPr>
        <w:t>«</w:t>
      </w:r>
      <w:r w:rsidR="001D004C">
        <w:rPr>
          <w:rStyle w:val="a"/>
          <w:b/>
          <w:bCs/>
          <w:lang w:val="ru"/>
        </w:rPr>
        <w:t>Н</w:t>
      </w:r>
      <w:r w:rsidR="000C20E2">
        <w:rPr>
          <w:rStyle w:val="a"/>
          <w:b/>
          <w:bCs/>
          <w:lang w:val="ru"/>
        </w:rPr>
        <w:t xml:space="preserve">еформального </w:t>
      </w:r>
      <w:r>
        <w:rPr>
          <w:rStyle w:val="a"/>
          <w:b/>
          <w:bCs/>
          <w:lang w:val="ru"/>
        </w:rPr>
        <w:t>консорциума</w:t>
      </w:r>
      <w:r w:rsidR="000C20E2">
        <w:rPr>
          <w:rStyle w:val="a"/>
          <w:b/>
          <w:bCs/>
          <w:lang w:val="ru"/>
        </w:rPr>
        <w:t>»</w:t>
      </w:r>
      <w:r>
        <w:rPr>
          <w:rStyle w:val="a"/>
          <w:lang w:val="ru"/>
        </w:rPr>
        <w:t xml:space="preserve"> две или более организации гражданского общества объединяются для совместной </w:t>
      </w:r>
      <w:r w:rsidR="000C20E2">
        <w:rPr>
          <w:rStyle w:val="a"/>
          <w:lang w:val="ru"/>
        </w:rPr>
        <w:t>реализации</w:t>
      </w:r>
      <w:r>
        <w:rPr>
          <w:rStyle w:val="a"/>
          <w:lang w:val="ru"/>
        </w:rPr>
        <w:t xml:space="preserve"> конкретн</w:t>
      </w:r>
      <w:r w:rsidR="000C20E2">
        <w:rPr>
          <w:rStyle w:val="a"/>
          <w:lang w:val="ru"/>
        </w:rPr>
        <w:t>ого</w:t>
      </w:r>
      <w:r>
        <w:rPr>
          <w:rStyle w:val="a"/>
          <w:lang w:val="ru"/>
        </w:rPr>
        <w:t xml:space="preserve"> проект</w:t>
      </w:r>
      <w:r w:rsidR="000C20E2">
        <w:rPr>
          <w:rStyle w:val="a"/>
          <w:lang w:val="ru"/>
        </w:rPr>
        <w:t>а</w:t>
      </w:r>
      <w:r>
        <w:rPr>
          <w:rStyle w:val="a"/>
          <w:lang w:val="ru"/>
        </w:rPr>
        <w:t xml:space="preserve"> или инициатив</w:t>
      </w:r>
      <w:r w:rsidR="000C20E2">
        <w:rPr>
          <w:rStyle w:val="a"/>
          <w:lang w:val="ru"/>
        </w:rPr>
        <w:t>ы,</w:t>
      </w:r>
      <w:r w:rsidR="000C20E2" w:rsidRPr="000C20E2">
        <w:rPr>
          <w:rStyle w:val="a"/>
          <w:lang w:val="ru"/>
        </w:rPr>
        <w:t xml:space="preserve"> </w:t>
      </w:r>
      <w:r w:rsidR="000C20E2">
        <w:rPr>
          <w:rStyle w:val="a"/>
          <w:lang w:val="ru"/>
        </w:rPr>
        <w:t>не оформляя это как постоянное юридическое лицо. Такое объединение носит разовый характер</w:t>
      </w:r>
      <w:r>
        <w:rPr>
          <w:rStyle w:val="a"/>
          <w:lang w:val="ru"/>
        </w:rPr>
        <w:t xml:space="preserve">. ЮНИСЕФ не может заключать </w:t>
      </w:r>
      <w:r w:rsidR="000C20E2">
        <w:rPr>
          <w:rStyle w:val="a"/>
          <w:lang w:val="ru"/>
        </w:rPr>
        <w:t xml:space="preserve">Соглашение о сотрудничестве или Программный документ </w:t>
      </w:r>
      <w:r>
        <w:rPr>
          <w:rStyle w:val="a"/>
          <w:lang w:val="ru"/>
        </w:rPr>
        <w:t xml:space="preserve">с организациями, </w:t>
      </w:r>
      <w:r w:rsidR="000C20E2">
        <w:rPr>
          <w:rStyle w:val="a"/>
          <w:lang w:val="ru"/>
        </w:rPr>
        <w:t xml:space="preserve">которые </w:t>
      </w:r>
      <w:r>
        <w:rPr>
          <w:rStyle w:val="a"/>
          <w:lang w:val="ru"/>
        </w:rPr>
        <w:t>не имею</w:t>
      </w:r>
      <w:r w:rsidR="000C20E2">
        <w:rPr>
          <w:rStyle w:val="a"/>
          <w:lang w:val="ru"/>
        </w:rPr>
        <w:t>т</w:t>
      </w:r>
      <w:r>
        <w:rPr>
          <w:rStyle w:val="a"/>
          <w:lang w:val="ru"/>
        </w:rPr>
        <w:t xml:space="preserve"> </w:t>
      </w:r>
      <w:r w:rsidR="000C20E2">
        <w:rPr>
          <w:rStyle w:val="a"/>
          <w:lang w:val="ru"/>
        </w:rPr>
        <w:t xml:space="preserve">официального </w:t>
      </w:r>
      <w:r>
        <w:rPr>
          <w:rStyle w:val="a"/>
          <w:lang w:val="ru"/>
        </w:rPr>
        <w:t xml:space="preserve">юридического статуса, </w:t>
      </w:r>
      <w:r w:rsidR="00413958">
        <w:rPr>
          <w:rStyle w:val="a"/>
          <w:lang w:val="ru"/>
        </w:rPr>
        <w:t xml:space="preserve">которым является Неформальный </w:t>
      </w:r>
      <w:r>
        <w:rPr>
          <w:rStyle w:val="a"/>
          <w:lang w:val="ru"/>
        </w:rPr>
        <w:t xml:space="preserve">консорциум. Вместо этого для заключения соглашений о партнерстве с ЮНИСЕФ </w:t>
      </w:r>
      <w:r w:rsidR="00413958">
        <w:rPr>
          <w:rStyle w:val="a"/>
          <w:lang w:val="ru"/>
        </w:rPr>
        <w:t>Неформальный</w:t>
      </w:r>
      <w:r>
        <w:rPr>
          <w:rStyle w:val="a"/>
          <w:lang w:val="ru"/>
        </w:rPr>
        <w:t xml:space="preserve"> консорциум должен назначить </w:t>
      </w:r>
      <w:r w:rsidR="00413958">
        <w:rPr>
          <w:rStyle w:val="a"/>
          <w:b/>
          <w:bCs/>
          <w:lang w:val="ru"/>
        </w:rPr>
        <w:t>«</w:t>
      </w:r>
      <w:r>
        <w:rPr>
          <w:rStyle w:val="a"/>
          <w:b/>
          <w:bCs/>
          <w:lang w:val="ru"/>
        </w:rPr>
        <w:t>Ведущую организацию</w:t>
      </w:r>
      <w:r w:rsidR="00413958">
        <w:rPr>
          <w:rStyle w:val="a"/>
          <w:b/>
          <w:bCs/>
          <w:lang w:val="ru"/>
        </w:rPr>
        <w:t>»</w:t>
      </w:r>
      <w:r w:rsidR="00413958">
        <w:rPr>
          <w:rStyle w:val="a"/>
          <w:lang w:val="ru"/>
        </w:rPr>
        <w:t xml:space="preserve"> для подписания ССП</w:t>
      </w:r>
      <w:r>
        <w:rPr>
          <w:rStyle w:val="a"/>
          <w:lang w:val="ru"/>
        </w:rPr>
        <w:t xml:space="preserve"> и люб</w:t>
      </w:r>
      <w:r w:rsidR="00413958">
        <w:rPr>
          <w:rStyle w:val="a"/>
          <w:lang w:val="ru"/>
        </w:rPr>
        <w:t>ых</w:t>
      </w:r>
      <w:r>
        <w:rPr>
          <w:rStyle w:val="a"/>
          <w:lang w:val="ru"/>
        </w:rPr>
        <w:t xml:space="preserve"> связанны</w:t>
      </w:r>
      <w:r w:rsidR="00413958">
        <w:rPr>
          <w:rStyle w:val="a"/>
          <w:lang w:val="ru"/>
        </w:rPr>
        <w:t>х</w:t>
      </w:r>
      <w:r>
        <w:rPr>
          <w:rStyle w:val="a"/>
          <w:lang w:val="ru"/>
        </w:rPr>
        <w:t xml:space="preserve"> </w:t>
      </w:r>
      <w:r w:rsidR="00413958">
        <w:rPr>
          <w:rStyle w:val="a"/>
          <w:lang w:val="ru"/>
        </w:rPr>
        <w:t>П</w:t>
      </w:r>
      <w:r>
        <w:rPr>
          <w:rStyle w:val="a"/>
          <w:lang w:val="ru"/>
        </w:rPr>
        <w:t>рограммны</w:t>
      </w:r>
      <w:r w:rsidR="00413958">
        <w:rPr>
          <w:rStyle w:val="a"/>
          <w:lang w:val="ru"/>
        </w:rPr>
        <w:t>х</w:t>
      </w:r>
      <w:r>
        <w:rPr>
          <w:rStyle w:val="a"/>
          <w:lang w:val="ru"/>
        </w:rPr>
        <w:t xml:space="preserve"> документ</w:t>
      </w:r>
      <w:r w:rsidR="00413958">
        <w:rPr>
          <w:rStyle w:val="a"/>
          <w:lang w:val="ru"/>
        </w:rPr>
        <w:t xml:space="preserve">ов </w:t>
      </w:r>
      <w:r>
        <w:rPr>
          <w:rStyle w:val="a"/>
          <w:lang w:val="ru"/>
        </w:rPr>
        <w:t>в качестве</w:t>
      </w:r>
      <w:r w:rsidR="00413958">
        <w:rPr>
          <w:lang w:val="ru-RU"/>
        </w:rPr>
        <w:t xml:space="preserve"> </w:t>
      </w:r>
      <w:r w:rsidR="00413958">
        <w:rPr>
          <w:rStyle w:val="a"/>
          <w:lang w:val="ru"/>
        </w:rPr>
        <w:t>П</w:t>
      </w:r>
      <w:r>
        <w:rPr>
          <w:rStyle w:val="a"/>
          <w:lang w:val="ru"/>
        </w:rPr>
        <w:t>артнер</w:t>
      </w:r>
      <w:r w:rsidR="00413958">
        <w:rPr>
          <w:rStyle w:val="a"/>
          <w:lang w:val="ru"/>
        </w:rPr>
        <w:t>а</w:t>
      </w:r>
      <w:r>
        <w:rPr>
          <w:rStyle w:val="a"/>
          <w:lang w:val="ru"/>
        </w:rPr>
        <w:t xml:space="preserve">, в то время как другие </w:t>
      </w:r>
      <w:r w:rsidR="00413958">
        <w:rPr>
          <w:rStyle w:val="a"/>
          <w:lang w:val="ru"/>
        </w:rPr>
        <w:t>ОГО</w:t>
      </w:r>
      <w:r>
        <w:rPr>
          <w:rStyle w:val="a"/>
          <w:lang w:val="ru"/>
        </w:rPr>
        <w:t xml:space="preserve"> Неформального консорциума будут рассматриваться как </w:t>
      </w:r>
      <w:r w:rsidR="00413958">
        <w:rPr>
          <w:rStyle w:val="a"/>
          <w:b/>
          <w:bCs/>
          <w:lang w:val="ru"/>
        </w:rPr>
        <w:t>«</w:t>
      </w:r>
      <w:r>
        <w:rPr>
          <w:rStyle w:val="a"/>
          <w:b/>
          <w:bCs/>
          <w:lang w:val="ru"/>
        </w:rPr>
        <w:t>Второстепенные организации</w:t>
      </w:r>
      <w:r w:rsidR="00413958">
        <w:rPr>
          <w:rStyle w:val="a"/>
          <w:b/>
          <w:bCs/>
          <w:lang w:val="ru"/>
        </w:rPr>
        <w:t>»</w:t>
      </w:r>
      <w:r>
        <w:rPr>
          <w:rStyle w:val="a"/>
          <w:b/>
          <w:bCs/>
          <w:lang w:val="ru"/>
        </w:rPr>
        <w:t xml:space="preserve">. </w:t>
      </w:r>
      <w:r w:rsidR="00413958">
        <w:rPr>
          <w:rStyle w:val="a"/>
          <w:lang w:val="ru"/>
        </w:rPr>
        <w:t>Согласно</w:t>
      </w:r>
      <w:r>
        <w:rPr>
          <w:rStyle w:val="a"/>
          <w:lang w:val="ru"/>
        </w:rPr>
        <w:t xml:space="preserve"> </w:t>
      </w:r>
      <w:r w:rsidR="00413958">
        <w:rPr>
          <w:rStyle w:val="a"/>
          <w:lang w:val="ru"/>
        </w:rPr>
        <w:t>ССП</w:t>
      </w:r>
      <w:r>
        <w:rPr>
          <w:rStyle w:val="a"/>
          <w:lang w:val="ru"/>
        </w:rPr>
        <w:t>/</w:t>
      </w:r>
      <w:r w:rsidR="00413958">
        <w:rPr>
          <w:rStyle w:val="a"/>
          <w:lang w:val="ru"/>
        </w:rPr>
        <w:t>Программному документу</w:t>
      </w:r>
      <w:r>
        <w:rPr>
          <w:rStyle w:val="a"/>
          <w:lang w:val="ru"/>
        </w:rPr>
        <w:t xml:space="preserve">, </w:t>
      </w:r>
      <w:r w:rsidR="00413958">
        <w:rPr>
          <w:rStyle w:val="a"/>
          <w:lang w:val="ru"/>
        </w:rPr>
        <w:t>Второстепенные</w:t>
      </w:r>
      <w:r>
        <w:rPr>
          <w:rStyle w:val="a"/>
          <w:lang w:val="ru"/>
        </w:rPr>
        <w:t xml:space="preserve"> организации </w:t>
      </w:r>
      <w:r w:rsidR="00413958">
        <w:rPr>
          <w:rStyle w:val="a"/>
          <w:lang w:val="ru"/>
        </w:rPr>
        <w:t>Неформального</w:t>
      </w:r>
      <w:r>
        <w:rPr>
          <w:rStyle w:val="a"/>
          <w:lang w:val="ru"/>
        </w:rPr>
        <w:t xml:space="preserve"> консорциума </w:t>
      </w:r>
      <w:r w:rsidR="00413958">
        <w:rPr>
          <w:rStyle w:val="a"/>
          <w:lang w:val="ru"/>
        </w:rPr>
        <w:t>считаются</w:t>
      </w:r>
      <w:r>
        <w:rPr>
          <w:rStyle w:val="a"/>
          <w:lang w:val="ru"/>
        </w:rPr>
        <w:t xml:space="preserve"> субподрядчиками Ведущей организации, и Ведущая организация несет за них полную ответственность в соответствии со статьей </w:t>
      </w:r>
      <w:r w:rsidR="00413958">
        <w:rPr>
          <w:rStyle w:val="a"/>
          <w:lang w:val="ru"/>
        </w:rPr>
        <w:t>«</w:t>
      </w:r>
      <w:r>
        <w:rPr>
          <w:rStyle w:val="a"/>
          <w:lang w:val="ru"/>
        </w:rPr>
        <w:t>Заключение субподрядных договоров</w:t>
      </w:r>
      <w:r w:rsidR="00413958">
        <w:rPr>
          <w:rStyle w:val="a"/>
          <w:lang w:val="ru"/>
        </w:rPr>
        <w:t>»</w:t>
      </w:r>
      <w:r>
        <w:rPr>
          <w:rStyle w:val="a"/>
          <w:lang w:val="ru"/>
        </w:rPr>
        <w:t xml:space="preserve"> в Общих положениях и условиях </w:t>
      </w:r>
      <w:r w:rsidR="00413958">
        <w:rPr>
          <w:rStyle w:val="a"/>
          <w:lang w:val="ru"/>
        </w:rPr>
        <w:t>ССП</w:t>
      </w:r>
      <w:r>
        <w:rPr>
          <w:rStyle w:val="a"/>
          <w:lang w:val="ru"/>
        </w:rPr>
        <w:t xml:space="preserve"> </w:t>
      </w:r>
      <w:hyperlink r:id="rId12" w:history="1">
        <w:r>
          <w:rPr>
            <w:rStyle w:val="a"/>
            <w:lang w:val="ru"/>
          </w:rPr>
          <w:t>(</w:t>
        </w:r>
        <w:r>
          <w:rPr>
            <w:rStyle w:val="a"/>
            <w:color w:val="0000FF"/>
            <w:u w:val="single"/>
            <w:lang w:val="ru"/>
          </w:rPr>
          <w:t xml:space="preserve">доступно </w:t>
        </w:r>
        <w:r w:rsidR="001D004C">
          <w:rPr>
            <w:rStyle w:val="a"/>
            <w:color w:val="0000FF"/>
            <w:u w:val="single"/>
            <w:lang w:val="ru"/>
          </w:rPr>
          <w:t>по ссылке</w:t>
        </w:r>
        <w:r>
          <w:rPr>
            <w:rStyle w:val="a"/>
            <w:lang w:val="ru"/>
          </w:rPr>
          <w:t xml:space="preserve">). </w:t>
        </w:r>
      </w:hyperlink>
      <w:r w:rsidR="00413958">
        <w:rPr>
          <w:rStyle w:val="a"/>
          <w:lang w:val="ru"/>
        </w:rPr>
        <w:t>Привлечение [Второстепенной организации консорциума]</w:t>
      </w:r>
      <w:r>
        <w:rPr>
          <w:rStyle w:val="a"/>
          <w:lang w:val="ru"/>
        </w:rPr>
        <w:t xml:space="preserve"> [Ведущей организаци</w:t>
      </w:r>
      <w:r w:rsidR="00413958">
        <w:rPr>
          <w:rStyle w:val="a"/>
          <w:lang w:val="ru"/>
        </w:rPr>
        <w:t>ей</w:t>
      </w:r>
      <w:r>
        <w:rPr>
          <w:rStyle w:val="a"/>
          <w:lang w:val="ru"/>
        </w:rPr>
        <w:t xml:space="preserve"> консорциума] не </w:t>
      </w:r>
      <w:r w:rsidR="00413958">
        <w:rPr>
          <w:rStyle w:val="a"/>
          <w:lang w:val="ru"/>
        </w:rPr>
        <w:t>снимает</w:t>
      </w:r>
      <w:r>
        <w:rPr>
          <w:rStyle w:val="a"/>
          <w:lang w:val="ru"/>
        </w:rPr>
        <w:t xml:space="preserve"> </w:t>
      </w:r>
      <w:r w:rsidR="00413958">
        <w:rPr>
          <w:rStyle w:val="a"/>
          <w:lang w:val="ru"/>
        </w:rPr>
        <w:t xml:space="preserve">с </w:t>
      </w:r>
      <w:r>
        <w:rPr>
          <w:rStyle w:val="a"/>
          <w:lang w:val="ru"/>
        </w:rPr>
        <w:t>[Ведущей организаци</w:t>
      </w:r>
      <w:r w:rsidR="00413958">
        <w:rPr>
          <w:rStyle w:val="a"/>
          <w:lang w:val="ru"/>
        </w:rPr>
        <w:t>и</w:t>
      </w:r>
      <w:r>
        <w:rPr>
          <w:rStyle w:val="a"/>
          <w:lang w:val="ru"/>
        </w:rPr>
        <w:t xml:space="preserve"> консорциума] от</w:t>
      </w:r>
      <w:r w:rsidR="00413958">
        <w:rPr>
          <w:rStyle w:val="a"/>
          <w:lang w:val="ru"/>
        </w:rPr>
        <w:t>ветственност</w:t>
      </w:r>
      <w:r w:rsidR="008C7399">
        <w:rPr>
          <w:rStyle w:val="a"/>
          <w:lang w:val="ru"/>
        </w:rPr>
        <w:t>ь</w:t>
      </w:r>
      <w:r>
        <w:rPr>
          <w:rStyle w:val="a"/>
          <w:lang w:val="ru"/>
        </w:rPr>
        <w:t xml:space="preserve"> </w:t>
      </w:r>
      <w:r w:rsidR="00413958">
        <w:rPr>
          <w:rStyle w:val="a"/>
          <w:lang w:val="ru"/>
        </w:rPr>
        <w:t>за выполнение условий</w:t>
      </w:r>
      <w:r>
        <w:rPr>
          <w:rStyle w:val="a"/>
          <w:lang w:val="ru"/>
        </w:rPr>
        <w:t xml:space="preserve"> настояще</w:t>
      </w:r>
      <w:r w:rsidR="00413958">
        <w:rPr>
          <w:rStyle w:val="a"/>
          <w:lang w:val="ru"/>
        </w:rPr>
        <w:t>го</w:t>
      </w:r>
      <w:r>
        <w:rPr>
          <w:rStyle w:val="a"/>
          <w:lang w:val="ru"/>
        </w:rPr>
        <w:t xml:space="preserve"> Соглашени</w:t>
      </w:r>
      <w:r w:rsidR="00413958">
        <w:rPr>
          <w:rStyle w:val="a"/>
          <w:lang w:val="ru"/>
        </w:rPr>
        <w:t>я</w:t>
      </w:r>
      <w:r>
        <w:rPr>
          <w:rStyle w:val="a"/>
          <w:lang w:val="ru"/>
        </w:rPr>
        <w:t xml:space="preserve">. Ведущая организация несет полную ответственность за действия всех </w:t>
      </w:r>
      <w:r w:rsidR="00413958">
        <w:rPr>
          <w:rStyle w:val="a"/>
          <w:lang w:val="ru"/>
        </w:rPr>
        <w:t>Второстепенных</w:t>
      </w:r>
      <w:r>
        <w:rPr>
          <w:rStyle w:val="a"/>
          <w:lang w:val="ru"/>
        </w:rPr>
        <w:t xml:space="preserve"> организаций </w:t>
      </w:r>
      <w:r w:rsidR="00413958">
        <w:rPr>
          <w:rStyle w:val="a"/>
          <w:lang w:val="ru"/>
        </w:rPr>
        <w:t xml:space="preserve">в рамках </w:t>
      </w:r>
      <w:r>
        <w:rPr>
          <w:rStyle w:val="a"/>
          <w:lang w:val="ru"/>
        </w:rPr>
        <w:t xml:space="preserve">Неформального </w:t>
      </w:r>
      <w:r w:rsidR="00413958">
        <w:rPr>
          <w:rStyle w:val="a"/>
          <w:lang w:val="ru"/>
        </w:rPr>
        <w:t>консорциума</w:t>
      </w:r>
      <w:r>
        <w:rPr>
          <w:rStyle w:val="a"/>
          <w:lang w:val="ru"/>
        </w:rPr>
        <w:t xml:space="preserve">, включая мониторинг и обеспечение гарантий использования средств </w:t>
      </w:r>
      <w:r w:rsidR="00413958">
        <w:rPr>
          <w:rStyle w:val="a"/>
          <w:lang w:val="ru"/>
        </w:rPr>
        <w:t>Второстепенными</w:t>
      </w:r>
      <w:r>
        <w:rPr>
          <w:rStyle w:val="a"/>
          <w:lang w:val="ru"/>
        </w:rPr>
        <w:t xml:space="preserve"> организациями.</w:t>
      </w:r>
    </w:p>
    <w:p w14:paraId="56EEB366" w14:textId="77777777" w:rsidR="00F56C73" w:rsidRPr="00973DCF" w:rsidRDefault="000C5F08">
      <w:pPr>
        <w:pStyle w:val="11"/>
        <w:spacing w:after="260"/>
        <w:jc w:val="both"/>
        <w:rPr>
          <w:lang w:val="ru-RU"/>
        </w:rPr>
      </w:pPr>
      <w:r>
        <w:rPr>
          <w:rStyle w:val="a"/>
          <w:lang w:val="ru"/>
        </w:rPr>
        <w:t xml:space="preserve">Взаимоотношения между Ведущей организацией и </w:t>
      </w:r>
      <w:r w:rsidR="00413958">
        <w:rPr>
          <w:rStyle w:val="a"/>
          <w:lang w:val="ru"/>
        </w:rPr>
        <w:t xml:space="preserve">Второстепенными </w:t>
      </w:r>
      <w:r>
        <w:rPr>
          <w:rStyle w:val="a"/>
          <w:lang w:val="ru"/>
        </w:rPr>
        <w:t xml:space="preserve">организациями </w:t>
      </w:r>
      <w:r w:rsidR="00413958">
        <w:rPr>
          <w:rStyle w:val="a"/>
          <w:lang w:val="ru"/>
        </w:rPr>
        <w:t xml:space="preserve">Неформального </w:t>
      </w:r>
      <w:r>
        <w:rPr>
          <w:rStyle w:val="a"/>
          <w:lang w:val="ru"/>
        </w:rPr>
        <w:t xml:space="preserve">консорциума дополнительно определяются в письменном соглашении, подписанном между участниками консорциума и представленном ЮНИСЕФ в начале </w:t>
      </w:r>
      <w:r w:rsidR="00413958">
        <w:rPr>
          <w:rStyle w:val="a"/>
          <w:lang w:val="ru"/>
        </w:rPr>
        <w:t>реализации</w:t>
      </w:r>
      <w:r>
        <w:rPr>
          <w:rStyle w:val="a"/>
          <w:lang w:val="ru"/>
        </w:rPr>
        <w:t xml:space="preserve"> программы.</w:t>
      </w:r>
    </w:p>
    <w:p w14:paraId="00B8D5CB" w14:textId="233D0D3F" w:rsidR="001D004C" w:rsidRPr="00973DCF" w:rsidRDefault="001D004C">
      <w:pPr>
        <w:pStyle w:val="22"/>
        <w:keepNext/>
        <w:keepLines/>
        <w:spacing w:after="0"/>
        <w:jc w:val="both"/>
        <w:rPr>
          <w:lang w:val="ru-RU"/>
        </w:rPr>
      </w:pPr>
      <w:r>
        <w:rPr>
          <w:rStyle w:val="21"/>
          <w:b/>
          <w:bCs/>
          <w:lang w:val="ru"/>
        </w:rPr>
        <w:t>Управление внутри Консорциума</w:t>
      </w:r>
    </w:p>
    <w:p w14:paraId="2CFBE5B9" w14:textId="77777777" w:rsidR="00F56C73" w:rsidRPr="00973DCF" w:rsidRDefault="00413958">
      <w:pPr>
        <w:pStyle w:val="11"/>
        <w:spacing w:after="260"/>
        <w:jc w:val="both"/>
        <w:rPr>
          <w:lang w:val="ru-RU"/>
        </w:rPr>
      </w:pPr>
      <w:r>
        <w:rPr>
          <w:rStyle w:val="a"/>
          <w:lang w:val="ru"/>
        </w:rPr>
        <w:t>Вне зависимости</w:t>
      </w:r>
      <w:r w:rsidR="000C5F08">
        <w:rPr>
          <w:rStyle w:val="a"/>
          <w:lang w:val="ru"/>
        </w:rPr>
        <w:t xml:space="preserve"> от того, является ли консорциум </w:t>
      </w:r>
      <w:r>
        <w:rPr>
          <w:rStyle w:val="a"/>
          <w:lang w:val="ru"/>
        </w:rPr>
        <w:t>формальным</w:t>
      </w:r>
      <w:r w:rsidR="000C5F08">
        <w:rPr>
          <w:rStyle w:val="a"/>
          <w:lang w:val="ru"/>
        </w:rPr>
        <w:t xml:space="preserve"> или не</w:t>
      </w:r>
      <w:r>
        <w:rPr>
          <w:rStyle w:val="a"/>
          <w:lang w:val="ru"/>
        </w:rPr>
        <w:t>формальным</w:t>
      </w:r>
      <w:r w:rsidR="000C5F08">
        <w:rPr>
          <w:rStyle w:val="a"/>
          <w:lang w:val="ru"/>
        </w:rPr>
        <w:t xml:space="preserve">, создание соответствующей структуры управления </w:t>
      </w:r>
      <w:r>
        <w:rPr>
          <w:rStyle w:val="a"/>
          <w:lang w:val="ru"/>
        </w:rPr>
        <w:t>является ключевым</w:t>
      </w:r>
      <w:r w:rsidR="000C5F08">
        <w:rPr>
          <w:rStyle w:val="a"/>
          <w:lang w:val="ru"/>
        </w:rPr>
        <w:t xml:space="preserve"> для </w:t>
      </w:r>
      <w:r>
        <w:rPr>
          <w:rStyle w:val="a"/>
          <w:lang w:val="ru"/>
        </w:rPr>
        <w:t xml:space="preserve">обеспечения согласованности действий всех участников </w:t>
      </w:r>
      <w:r w:rsidR="000C5F08">
        <w:rPr>
          <w:rStyle w:val="a"/>
          <w:lang w:val="ru"/>
        </w:rPr>
        <w:t xml:space="preserve">консорциума </w:t>
      </w:r>
      <w:r>
        <w:rPr>
          <w:rStyle w:val="a"/>
          <w:lang w:val="ru"/>
        </w:rPr>
        <w:t xml:space="preserve">при решении </w:t>
      </w:r>
      <w:r w:rsidR="000C5F08">
        <w:rPr>
          <w:rStyle w:val="a"/>
          <w:lang w:val="ru"/>
        </w:rPr>
        <w:t xml:space="preserve">конкретных </w:t>
      </w:r>
      <w:r>
        <w:rPr>
          <w:rStyle w:val="a"/>
          <w:lang w:val="ru"/>
        </w:rPr>
        <w:t xml:space="preserve">вопросов, </w:t>
      </w:r>
      <w:r w:rsidR="000C5F08">
        <w:rPr>
          <w:rStyle w:val="a"/>
          <w:lang w:val="ru"/>
        </w:rPr>
        <w:t xml:space="preserve">не </w:t>
      </w:r>
      <w:r>
        <w:rPr>
          <w:rStyle w:val="a"/>
          <w:lang w:val="ru"/>
        </w:rPr>
        <w:t xml:space="preserve">охваченных </w:t>
      </w:r>
      <w:r w:rsidR="000C5F08">
        <w:rPr>
          <w:rStyle w:val="a"/>
          <w:lang w:val="ru"/>
        </w:rPr>
        <w:t>С</w:t>
      </w:r>
      <w:r>
        <w:rPr>
          <w:rStyle w:val="a"/>
          <w:lang w:val="ru"/>
        </w:rPr>
        <w:t>СП</w:t>
      </w:r>
      <w:r w:rsidR="000C5F08">
        <w:rPr>
          <w:rStyle w:val="a"/>
          <w:lang w:val="ru"/>
        </w:rPr>
        <w:t xml:space="preserve"> и </w:t>
      </w:r>
      <w:r w:rsidR="00E6357A">
        <w:rPr>
          <w:rStyle w:val="a"/>
          <w:lang w:val="ru"/>
        </w:rPr>
        <w:t xml:space="preserve">Программным </w:t>
      </w:r>
      <w:r w:rsidR="000C5F08">
        <w:rPr>
          <w:rStyle w:val="a"/>
          <w:lang w:val="ru"/>
        </w:rPr>
        <w:t>документ</w:t>
      </w:r>
      <w:r w:rsidR="00E6357A">
        <w:rPr>
          <w:rStyle w:val="a"/>
          <w:lang w:val="ru"/>
        </w:rPr>
        <w:t>ом</w:t>
      </w:r>
      <w:r w:rsidR="00E6357A" w:rsidRPr="00E6357A">
        <w:rPr>
          <w:rStyle w:val="a"/>
          <w:lang w:val="ru"/>
        </w:rPr>
        <w:t xml:space="preserve"> </w:t>
      </w:r>
      <w:r w:rsidR="00E6357A">
        <w:rPr>
          <w:rStyle w:val="a"/>
          <w:lang w:val="ru"/>
        </w:rPr>
        <w:t>ЮНИСЕФ</w:t>
      </w:r>
      <w:r w:rsidR="000C5F08">
        <w:rPr>
          <w:rStyle w:val="a"/>
          <w:lang w:val="ru"/>
        </w:rPr>
        <w:t xml:space="preserve">. ЮНИСЕФ настоятельно рекомендует консорциумам создавать открытые каналы связи, четкие механизмы подотчетности и </w:t>
      </w:r>
      <w:r w:rsidR="00E6357A">
        <w:rPr>
          <w:rStyle w:val="a"/>
          <w:lang w:val="ru"/>
        </w:rPr>
        <w:t xml:space="preserve">обеспечивать </w:t>
      </w:r>
      <w:r w:rsidR="000C5F08">
        <w:rPr>
          <w:rStyle w:val="a"/>
          <w:lang w:val="ru"/>
        </w:rPr>
        <w:t xml:space="preserve">общую прозрачность между всеми </w:t>
      </w:r>
      <w:r w:rsidR="00E6357A">
        <w:rPr>
          <w:rStyle w:val="a"/>
          <w:lang w:val="ru"/>
        </w:rPr>
        <w:t>участниками</w:t>
      </w:r>
      <w:r w:rsidR="000C5F08">
        <w:rPr>
          <w:rStyle w:val="a"/>
          <w:lang w:val="ru"/>
        </w:rPr>
        <w:t>.</w:t>
      </w:r>
    </w:p>
    <w:p w14:paraId="56A8B5CF" w14:textId="2CB8741B" w:rsidR="00F56C73" w:rsidRPr="00973DCF" w:rsidRDefault="000C5F08">
      <w:pPr>
        <w:pStyle w:val="11"/>
        <w:spacing w:after="260"/>
        <w:jc w:val="both"/>
        <w:rPr>
          <w:lang w:val="ru-RU"/>
        </w:rPr>
      </w:pPr>
      <w:r>
        <w:rPr>
          <w:rStyle w:val="a"/>
          <w:lang w:val="ru"/>
        </w:rPr>
        <w:t xml:space="preserve">Как правило, в рамках </w:t>
      </w:r>
      <w:r w:rsidR="00E6357A">
        <w:rPr>
          <w:rStyle w:val="a"/>
          <w:lang w:val="ru"/>
        </w:rPr>
        <w:t>Неформального</w:t>
      </w:r>
      <w:r>
        <w:rPr>
          <w:rStyle w:val="a"/>
          <w:lang w:val="ru"/>
        </w:rPr>
        <w:t xml:space="preserve"> консорциума только </w:t>
      </w:r>
      <w:r w:rsidR="00E6357A">
        <w:rPr>
          <w:rStyle w:val="a"/>
          <w:lang w:val="ru"/>
        </w:rPr>
        <w:t xml:space="preserve">Ведущая </w:t>
      </w:r>
      <w:r>
        <w:rPr>
          <w:rStyle w:val="a"/>
          <w:lang w:val="ru"/>
        </w:rPr>
        <w:t>организация консорциума получает денежные переводы и материалы</w:t>
      </w:r>
      <w:r w:rsidR="00E6357A" w:rsidRPr="00E6357A">
        <w:rPr>
          <w:rStyle w:val="a"/>
          <w:lang w:val="ru"/>
        </w:rPr>
        <w:t xml:space="preserve"> </w:t>
      </w:r>
      <w:r w:rsidR="00E6357A">
        <w:rPr>
          <w:rStyle w:val="a"/>
          <w:lang w:val="ru"/>
        </w:rPr>
        <w:t>от ЮНИСЕФ, необходимы</w:t>
      </w:r>
      <w:r w:rsidR="001D004C">
        <w:rPr>
          <w:rStyle w:val="a"/>
          <w:lang w:val="ru"/>
        </w:rPr>
        <w:t>е</w:t>
      </w:r>
      <w:r>
        <w:rPr>
          <w:rStyle w:val="a"/>
          <w:lang w:val="ru"/>
        </w:rPr>
        <w:t xml:space="preserve"> для </w:t>
      </w:r>
      <w:r w:rsidR="00E6357A">
        <w:rPr>
          <w:rStyle w:val="a"/>
          <w:lang w:val="ru"/>
        </w:rPr>
        <w:t xml:space="preserve">выполнения </w:t>
      </w:r>
      <w:r>
        <w:rPr>
          <w:rStyle w:val="a"/>
          <w:lang w:val="ru"/>
        </w:rPr>
        <w:t>программ</w:t>
      </w:r>
      <w:r w:rsidR="00E6357A">
        <w:rPr>
          <w:rStyle w:val="a"/>
          <w:lang w:val="ru"/>
        </w:rPr>
        <w:t>ы</w:t>
      </w:r>
      <w:r>
        <w:rPr>
          <w:rStyle w:val="a"/>
          <w:lang w:val="ru"/>
        </w:rPr>
        <w:t xml:space="preserve">. Затем </w:t>
      </w:r>
      <w:r w:rsidR="00E6357A">
        <w:rPr>
          <w:rStyle w:val="a"/>
          <w:lang w:val="ru"/>
        </w:rPr>
        <w:t xml:space="preserve">Ведущая </w:t>
      </w:r>
      <w:r>
        <w:rPr>
          <w:rStyle w:val="a"/>
          <w:lang w:val="ru"/>
        </w:rPr>
        <w:t>организация консорциума несет ответс</w:t>
      </w:r>
      <w:r w:rsidR="00E6357A">
        <w:rPr>
          <w:rStyle w:val="a"/>
          <w:lang w:val="ru"/>
        </w:rPr>
        <w:t>твенность за последующий</w:t>
      </w:r>
      <w:r>
        <w:rPr>
          <w:rStyle w:val="a"/>
          <w:lang w:val="ru"/>
        </w:rPr>
        <w:t xml:space="preserve"> </w:t>
      </w:r>
      <w:r w:rsidR="00E6357A">
        <w:rPr>
          <w:rStyle w:val="a"/>
          <w:lang w:val="ru"/>
        </w:rPr>
        <w:t>перевод</w:t>
      </w:r>
      <w:r>
        <w:rPr>
          <w:rStyle w:val="a"/>
          <w:lang w:val="ru"/>
        </w:rPr>
        <w:t xml:space="preserve"> </w:t>
      </w:r>
      <w:r w:rsidR="00E6357A">
        <w:rPr>
          <w:rStyle w:val="a"/>
          <w:lang w:val="ru"/>
        </w:rPr>
        <w:t>денежных</w:t>
      </w:r>
      <w:r>
        <w:rPr>
          <w:rStyle w:val="a"/>
          <w:lang w:val="ru"/>
        </w:rPr>
        <w:t xml:space="preserve"> средств или программных материалов </w:t>
      </w:r>
      <w:r w:rsidR="00E6357A">
        <w:rPr>
          <w:rStyle w:val="a"/>
          <w:lang w:val="ru"/>
        </w:rPr>
        <w:t>Второстепенным</w:t>
      </w:r>
      <w:r>
        <w:rPr>
          <w:rStyle w:val="a"/>
          <w:lang w:val="ru"/>
        </w:rPr>
        <w:t xml:space="preserve"> организациям консорциума, если это необходимо для реализации программы. В качестве альтернативы Ведущая организация консорциума может обратиться </w:t>
      </w:r>
      <w:r w:rsidR="00E6357A">
        <w:rPr>
          <w:rStyle w:val="a"/>
          <w:lang w:val="ru"/>
        </w:rPr>
        <w:t>в</w:t>
      </w:r>
      <w:r>
        <w:rPr>
          <w:rStyle w:val="a"/>
          <w:lang w:val="ru"/>
        </w:rPr>
        <w:t xml:space="preserve"> ЮНИСЕФ с просьбой назначить Второстепенные организации </w:t>
      </w:r>
      <w:r w:rsidR="00E6357A">
        <w:rPr>
          <w:rStyle w:val="a"/>
          <w:lang w:val="ru"/>
        </w:rPr>
        <w:t>в качестве «</w:t>
      </w:r>
      <w:r>
        <w:rPr>
          <w:rStyle w:val="a"/>
          <w:lang w:val="ru"/>
        </w:rPr>
        <w:t>разрешенны</w:t>
      </w:r>
      <w:r w:rsidR="00E6357A">
        <w:rPr>
          <w:rStyle w:val="a"/>
          <w:lang w:val="ru"/>
        </w:rPr>
        <w:t>х</w:t>
      </w:r>
      <w:r>
        <w:rPr>
          <w:rStyle w:val="a"/>
          <w:lang w:val="ru"/>
        </w:rPr>
        <w:t xml:space="preserve"> получател</w:t>
      </w:r>
      <w:r w:rsidR="00E6357A">
        <w:rPr>
          <w:rStyle w:val="a"/>
          <w:lang w:val="ru"/>
        </w:rPr>
        <w:t>ей</w:t>
      </w:r>
      <w:r>
        <w:rPr>
          <w:rStyle w:val="a"/>
          <w:lang w:val="ru"/>
        </w:rPr>
        <w:t xml:space="preserve"> платеж</w:t>
      </w:r>
      <w:r w:rsidR="00E6357A">
        <w:rPr>
          <w:rStyle w:val="a"/>
          <w:lang w:val="ru"/>
        </w:rPr>
        <w:t>а»</w:t>
      </w:r>
      <w:r>
        <w:rPr>
          <w:rStyle w:val="a"/>
          <w:lang w:val="ru"/>
        </w:rPr>
        <w:t>, что позволит ЮНИСЕФ осуществлять денежные переводы Второстепенным организациям от имени Ведущей организации.</w:t>
      </w:r>
      <w:r w:rsidR="00E6357A">
        <w:rPr>
          <w:rStyle w:val="a"/>
          <w:lang w:val="ru"/>
        </w:rPr>
        <w:t xml:space="preserve"> </w:t>
      </w:r>
    </w:p>
    <w:p w14:paraId="2153AA9B" w14:textId="3F25DA86" w:rsidR="00F56C73" w:rsidRPr="00973DCF" w:rsidRDefault="000C5F08">
      <w:pPr>
        <w:pStyle w:val="11"/>
        <w:spacing w:after="260"/>
        <w:jc w:val="both"/>
        <w:rPr>
          <w:lang w:val="ru-RU"/>
        </w:rPr>
      </w:pPr>
      <w:r>
        <w:rPr>
          <w:rStyle w:val="a"/>
          <w:lang w:val="ru"/>
        </w:rPr>
        <w:t xml:space="preserve">Ведущая организация </w:t>
      </w:r>
      <w:r w:rsidR="00E6357A">
        <w:rPr>
          <w:rStyle w:val="a"/>
          <w:lang w:val="ru"/>
        </w:rPr>
        <w:t>играет роль</w:t>
      </w:r>
      <w:r>
        <w:rPr>
          <w:rStyle w:val="a"/>
          <w:lang w:val="ru"/>
        </w:rPr>
        <w:t xml:space="preserve"> основного </w:t>
      </w:r>
      <w:r w:rsidR="00E6357A">
        <w:rPr>
          <w:rStyle w:val="a"/>
          <w:lang w:val="ru"/>
        </w:rPr>
        <w:t>связующего звена</w:t>
      </w:r>
      <w:r>
        <w:rPr>
          <w:rStyle w:val="a"/>
          <w:lang w:val="ru"/>
        </w:rPr>
        <w:t xml:space="preserve"> с ЮНИСЕФ на протяжении всего срока действия Программного документа</w:t>
      </w:r>
      <w:r w:rsidR="00E6357A">
        <w:rPr>
          <w:rStyle w:val="a"/>
          <w:lang w:val="ru"/>
        </w:rPr>
        <w:t>. Однако</w:t>
      </w:r>
      <w:r>
        <w:rPr>
          <w:rStyle w:val="a"/>
          <w:lang w:val="ru"/>
        </w:rPr>
        <w:t xml:space="preserve"> это не исключает возможности привлечения ЮНИСЕФ </w:t>
      </w:r>
      <w:r w:rsidR="00E6357A">
        <w:rPr>
          <w:rStyle w:val="a"/>
          <w:lang w:val="ru"/>
        </w:rPr>
        <w:t>Второстепенных организаций для</w:t>
      </w:r>
      <w:r>
        <w:rPr>
          <w:rStyle w:val="a"/>
          <w:lang w:val="ru"/>
        </w:rPr>
        <w:t xml:space="preserve"> сотрудничеств</w:t>
      </w:r>
      <w:r w:rsidR="00E6357A">
        <w:rPr>
          <w:rStyle w:val="a"/>
          <w:lang w:val="ru"/>
        </w:rPr>
        <w:t>а</w:t>
      </w:r>
      <w:r>
        <w:rPr>
          <w:rStyle w:val="a"/>
          <w:lang w:val="ru"/>
        </w:rPr>
        <w:t xml:space="preserve"> </w:t>
      </w:r>
      <w:r w:rsidR="00E6357A">
        <w:rPr>
          <w:rStyle w:val="a"/>
          <w:lang w:val="ru"/>
        </w:rPr>
        <w:t>при</w:t>
      </w:r>
      <w:r>
        <w:rPr>
          <w:rStyle w:val="a"/>
          <w:lang w:val="ru"/>
        </w:rPr>
        <w:t xml:space="preserve"> необходимости. Ведущая организация несет ответственность за проведение и</w:t>
      </w:r>
      <w:r w:rsidR="00E6357A">
        <w:rPr>
          <w:rStyle w:val="a"/>
          <w:lang w:val="ru"/>
        </w:rPr>
        <w:t xml:space="preserve"> (</w:t>
      </w:r>
      <w:r>
        <w:rPr>
          <w:rStyle w:val="a"/>
          <w:lang w:val="ru"/>
        </w:rPr>
        <w:t>или</w:t>
      </w:r>
      <w:r w:rsidR="00E6357A">
        <w:rPr>
          <w:rStyle w:val="a"/>
          <w:lang w:val="ru"/>
        </w:rPr>
        <w:t>)</w:t>
      </w:r>
      <w:r>
        <w:rPr>
          <w:rStyle w:val="a"/>
          <w:lang w:val="ru"/>
        </w:rPr>
        <w:t xml:space="preserve"> координацию всех мероприятий по обеспечению соблюдения </w:t>
      </w:r>
      <w:r w:rsidR="001D004C">
        <w:rPr>
          <w:rStyle w:val="a"/>
          <w:lang w:val="ru"/>
        </w:rPr>
        <w:t>Согласованного</w:t>
      </w:r>
      <w:r>
        <w:rPr>
          <w:rStyle w:val="a"/>
          <w:lang w:val="ru"/>
        </w:rPr>
        <w:t xml:space="preserve"> подхода к </w:t>
      </w:r>
      <w:r w:rsidR="001D004C">
        <w:rPr>
          <w:rStyle w:val="a"/>
          <w:lang w:val="ru"/>
        </w:rPr>
        <w:t xml:space="preserve">денежным </w:t>
      </w:r>
      <w:r>
        <w:rPr>
          <w:rStyle w:val="a"/>
          <w:lang w:val="ru"/>
        </w:rPr>
        <w:t>перевод</w:t>
      </w:r>
      <w:r w:rsidR="00E6357A">
        <w:rPr>
          <w:rStyle w:val="a"/>
          <w:lang w:val="ru"/>
        </w:rPr>
        <w:t>ам</w:t>
      </w:r>
      <w:r>
        <w:rPr>
          <w:rStyle w:val="a"/>
          <w:lang w:val="ru"/>
        </w:rPr>
        <w:t xml:space="preserve"> (</w:t>
      </w:r>
      <w:r w:rsidR="001D004C">
        <w:rPr>
          <w:rStyle w:val="a"/>
          <w:lang w:val="ru"/>
        </w:rPr>
        <w:t>СПДП</w:t>
      </w:r>
      <w:r>
        <w:rPr>
          <w:rStyle w:val="a"/>
          <w:lang w:val="ru"/>
        </w:rPr>
        <w:t xml:space="preserve">), проводимых ЮНИСЕФ. Финансовые выборочные проверки и аудиты </w:t>
      </w:r>
      <w:r w:rsidR="001D004C">
        <w:rPr>
          <w:rStyle w:val="a"/>
          <w:lang w:val="ru"/>
        </w:rPr>
        <w:t xml:space="preserve">СПДП </w:t>
      </w:r>
      <w:r>
        <w:rPr>
          <w:rStyle w:val="a"/>
          <w:lang w:val="ru"/>
        </w:rPr>
        <w:t>проводятся в Ведущей организации консорциума</w:t>
      </w:r>
      <w:r w:rsidR="00E6357A">
        <w:rPr>
          <w:rStyle w:val="a"/>
          <w:lang w:val="ru"/>
        </w:rPr>
        <w:t xml:space="preserve">. В рамках </w:t>
      </w:r>
      <w:r w:rsidR="001D004C">
        <w:rPr>
          <w:rStyle w:val="a"/>
          <w:lang w:val="ru"/>
        </w:rPr>
        <w:t>подобных</w:t>
      </w:r>
      <w:r w:rsidR="00E6357A">
        <w:rPr>
          <w:rStyle w:val="a"/>
          <w:lang w:val="ru"/>
        </w:rPr>
        <w:t xml:space="preserve"> поверок у второстепенных организаций может запрашиваться</w:t>
      </w:r>
      <w:r>
        <w:rPr>
          <w:rStyle w:val="a"/>
          <w:lang w:val="ru"/>
        </w:rPr>
        <w:t xml:space="preserve"> подтверждающ</w:t>
      </w:r>
      <w:r w:rsidR="00E6357A">
        <w:rPr>
          <w:rStyle w:val="a"/>
          <w:lang w:val="ru"/>
        </w:rPr>
        <w:t>ая</w:t>
      </w:r>
      <w:r>
        <w:rPr>
          <w:rStyle w:val="a"/>
          <w:lang w:val="ru"/>
        </w:rPr>
        <w:t xml:space="preserve"> документаци</w:t>
      </w:r>
      <w:r w:rsidR="00E6357A">
        <w:rPr>
          <w:rStyle w:val="a"/>
          <w:lang w:val="ru"/>
        </w:rPr>
        <w:t>я (или ее копия)</w:t>
      </w:r>
      <w:r>
        <w:rPr>
          <w:rStyle w:val="a"/>
          <w:lang w:val="ru"/>
        </w:rPr>
        <w:t xml:space="preserve"> для </w:t>
      </w:r>
      <w:r w:rsidR="00E6357A">
        <w:rPr>
          <w:rStyle w:val="a"/>
          <w:lang w:val="ru"/>
        </w:rPr>
        <w:lastRenderedPageBreak/>
        <w:t>подтверждения</w:t>
      </w:r>
      <w:r>
        <w:rPr>
          <w:rStyle w:val="a"/>
          <w:lang w:val="ru"/>
        </w:rPr>
        <w:t xml:space="preserve"> </w:t>
      </w:r>
      <w:r w:rsidR="00E6357A">
        <w:rPr>
          <w:rStyle w:val="a"/>
          <w:lang w:val="ru"/>
        </w:rPr>
        <w:t>финансовой деятельности</w:t>
      </w:r>
      <w:r>
        <w:rPr>
          <w:rStyle w:val="a"/>
          <w:lang w:val="ru"/>
        </w:rPr>
        <w:t xml:space="preserve">. Программные визиты </w:t>
      </w:r>
      <w:r w:rsidR="001D004C">
        <w:rPr>
          <w:rStyle w:val="a"/>
          <w:lang w:val="ru"/>
        </w:rPr>
        <w:t>СПДП</w:t>
      </w:r>
      <w:r>
        <w:rPr>
          <w:rStyle w:val="a"/>
          <w:lang w:val="ru"/>
        </w:rPr>
        <w:t xml:space="preserve">, как правило, проводятся </w:t>
      </w:r>
      <w:r w:rsidR="001D004C">
        <w:rPr>
          <w:rStyle w:val="a"/>
          <w:lang w:val="ru"/>
        </w:rPr>
        <w:t>там</w:t>
      </w:r>
      <w:r w:rsidR="006F2410">
        <w:rPr>
          <w:rStyle w:val="a"/>
          <w:lang w:val="ru"/>
        </w:rPr>
        <w:t>, где</w:t>
      </w:r>
      <w:r>
        <w:rPr>
          <w:rStyle w:val="a"/>
          <w:lang w:val="ru"/>
        </w:rPr>
        <w:t xml:space="preserve"> реализ</w:t>
      </w:r>
      <w:r w:rsidR="006F2410">
        <w:rPr>
          <w:rStyle w:val="a"/>
          <w:lang w:val="ru"/>
        </w:rPr>
        <w:t xml:space="preserve">уются </w:t>
      </w:r>
      <w:r>
        <w:rPr>
          <w:rStyle w:val="a"/>
          <w:lang w:val="ru"/>
        </w:rPr>
        <w:t>программ</w:t>
      </w:r>
      <w:r w:rsidR="006F2410">
        <w:rPr>
          <w:rStyle w:val="a"/>
          <w:lang w:val="ru"/>
        </w:rPr>
        <w:t>ы</w:t>
      </w:r>
      <w:r>
        <w:rPr>
          <w:rStyle w:val="a"/>
          <w:lang w:val="ru"/>
        </w:rPr>
        <w:t xml:space="preserve">. В тех случаях, когда </w:t>
      </w:r>
      <w:r w:rsidR="006F2410">
        <w:rPr>
          <w:rStyle w:val="a"/>
          <w:lang w:val="ru"/>
        </w:rPr>
        <w:t>места</w:t>
      </w:r>
      <w:r>
        <w:rPr>
          <w:rStyle w:val="a"/>
          <w:lang w:val="ru"/>
        </w:rPr>
        <w:t xml:space="preserve"> реализации программы, отобранные для </w:t>
      </w:r>
      <w:r w:rsidR="006F2410">
        <w:rPr>
          <w:rStyle w:val="a"/>
          <w:lang w:val="ru"/>
        </w:rPr>
        <w:t>программного визита</w:t>
      </w:r>
      <w:r>
        <w:rPr>
          <w:rStyle w:val="a"/>
          <w:lang w:val="ru"/>
        </w:rPr>
        <w:t xml:space="preserve">, </w:t>
      </w:r>
      <w:r w:rsidR="006F2410">
        <w:rPr>
          <w:rStyle w:val="a"/>
          <w:lang w:val="ru"/>
        </w:rPr>
        <w:t>закреплены</w:t>
      </w:r>
      <w:r>
        <w:rPr>
          <w:rStyle w:val="a"/>
          <w:lang w:val="ru"/>
        </w:rPr>
        <w:t xml:space="preserve"> </w:t>
      </w:r>
      <w:r w:rsidR="006F2410">
        <w:rPr>
          <w:rStyle w:val="a"/>
          <w:lang w:val="ru"/>
        </w:rPr>
        <w:t xml:space="preserve">за Второстепенной </w:t>
      </w:r>
      <w:r>
        <w:rPr>
          <w:rStyle w:val="a"/>
          <w:lang w:val="ru"/>
        </w:rPr>
        <w:t>организаци</w:t>
      </w:r>
      <w:r w:rsidR="006F2410">
        <w:rPr>
          <w:rStyle w:val="a"/>
          <w:lang w:val="ru"/>
        </w:rPr>
        <w:t>ей</w:t>
      </w:r>
      <w:r>
        <w:rPr>
          <w:rStyle w:val="a"/>
          <w:lang w:val="ru"/>
        </w:rPr>
        <w:t xml:space="preserve">, </w:t>
      </w:r>
      <w:r w:rsidR="006F2410">
        <w:rPr>
          <w:rStyle w:val="a"/>
          <w:lang w:val="ru"/>
        </w:rPr>
        <w:t>Ведущей</w:t>
      </w:r>
      <w:r>
        <w:rPr>
          <w:rStyle w:val="a"/>
          <w:lang w:val="ru"/>
        </w:rPr>
        <w:t xml:space="preserve"> организации консорциума может быть </w:t>
      </w:r>
      <w:r w:rsidR="006F2410">
        <w:rPr>
          <w:rStyle w:val="a"/>
          <w:lang w:val="ru"/>
        </w:rPr>
        <w:t>поручено</w:t>
      </w:r>
      <w:r>
        <w:rPr>
          <w:rStyle w:val="a"/>
          <w:lang w:val="ru"/>
        </w:rPr>
        <w:t xml:space="preserve"> провести совместный мониторинг с ЮНИСЕФ.</w:t>
      </w:r>
    </w:p>
    <w:p w14:paraId="03D679DB" w14:textId="0DBB2BFE" w:rsidR="001D004C" w:rsidRPr="00973DCF" w:rsidRDefault="001D004C">
      <w:pPr>
        <w:pStyle w:val="22"/>
        <w:keepNext/>
        <w:keepLines/>
        <w:spacing w:after="0"/>
        <w:jc w:val="both"/>
        <w:rPr>
          <w:lang w:val="ru-RU"/>
        </w:rPr>
      </w:pPr>
      <w:r>
        <w:rPr>
          <w:rStyle w:val="21"/>
          <w:b/>
          <w:bCs/>
          <w:lang w:val="ru"/>
        </w:rPr>
        <w:t>Необходимая документация</w:t>
      </w:r>
    </w:p>
    <w:p w14:paraId="13E2E950" w14:textId="77777777" w:rsidR="00F56C73" w:rsidRPr="00973DCF" w:rsidRDefault="006F2410">
      <w:pPr>
        <w:pStyle w:val="11"/>
        <w:spacing w:after="260"/>
        <w:jc w:val="both"/>
        <w:rPr>
          <w:lang w:val="ru-RU"/>
        </w:rPr>
      </w:pPr>
      <w:r>
        <w:rPr>
          <w:rStyle w:val="a"/>
          <w:lang w:val="ru"/>
        </w:rPr>
        <w:t>Формальные</w:t>
      </w:r>
      <w:r w:rsidR="000C5F08">
        <w:rPr>
          <w:rStyle w:val="a"/>
          <w:lang w:val="ru"/>
        </w:rPr>
        <w:t xml:space="preserve"> консорциумы обязаны представлять ту же документацию и проходить ту же оценку, что и</w:t>
      </w:r>
      <w:r>
        <w:rPr>
          <w:rStyle w:val="a"/>
          <w:lang w:val="ru"/>
        </w:rPr>
        <w:t xml:space="preserve"> Партнеры</w:t>
      </w:r>
      <w:r w:rsidR="000C5F08">
        <w:rPr>
          <w:rStyle w:val="a"/>
          <w:lang w:val="ru"/>
        </w:rPr>
        <w:t>, не входящие в консорциум.</w:t>
      </w:r>
    </w:p>
    <w:p w14:paraId="031D5864" w14:textId="3C162832" w:rsidR="00F56C73" w:rsidRPr="00973DCF" w:rsidRDefault="000C5F08" w:rsidP="006F2410">
      <w:pPr>
        <w:pStyle w:val="11"/>
        <w:spacing w:after="260"/>
        <w:jc w:val="both"/>
        <w:rPr>
          <w:lang w:val="ru-RU"/>
        </w:rPr>
      </w:pPr>
      <w:r>
        <w:rPr>
          <w:rStyle w:val="a"/>
          <w:lang w:val="ru"/>
        </w:rPr>
        <w:t xml:space="preserve">Что касается неформальных консорциумов, то </w:t>
      </w:r>
      <w:r w:rsidR="006F2410">
        <w:rPr>
          <w:rStyle w:val="a"/>
          <w:lang w:val="ru"/>
        </w:rPr>
        <w:t xml:space="preserve">Ведущая </w:t>
      </w:r>
      <w:r>
        <w:rPr>
          <w:rStyle w:val="a"/>
          <w:lang w:val="ru"/>
        </w:rPr>
        <w:t>организация, как правило, должна иметь предыдущий опыт партнерства с ЮНИСЕФ (т.е.</w:t>
      </w:r>
      <w:r w:rsidR="006F2410">
        <w:rPr>
          <w:rStyle w:val="a"/>
          <w:lang w:val="ru"/>
        </w:rPr>
        <w:t xml:space="preserve"> текущее или предыдущее С</w:t>
      </w:r>
      <w:r>
        <w:rPr>
          <w:rStyle w:val="a"/>
          <w:lang w:val="ru"/>
        </w:rPr>
        <w:t>С</w:t>
      </w:r>
      <w:r w:rsidR="006F2410">
        <w:rPr>
          <w:rStyle w:val="a"/>
          <w:lang w:val="ru"/>
        </w:rPr>
        <w:t>П</w:t>
      </w:r>
      <w:r>
        <w:rPr>
          <w:rStyle w:val="a"/>
          <w:lang w:val="ru"/>
        </w:rPr>
        <w:t xml:space="preserve">) или другим учреждением ООН. Ведущая организация должна была пройти </w:t>
      </w:r>
      <w:r w:rsidR="006F2410">
        <w:rPr>
          <w:rStyle w:val="a"/>
          <w:lang w:val="ru"/>
        </w:rPr>
        <w:t>ряд обязательных</w:t>
      </w:r>
      <w:r>
        <w:rPr>
          <w:rStyle w:val="a"/>
          <w:lang w:val="ru"/>
        </w:rPr>
        <w:t xml:space="preserve"> оцен</w:t>
      </w:r>
      <w:r w:rsidR="006F2410">
        <w:rPr>
          <w:rStyle w:val="a"/>
          <w:lang w:val="ru"/>
        </w:rPr>
        <w:t>ок</w:t>
      </w:r>
      <w:r>
        <w:rPr>
          <w:rStyle w:val="a"/>
          <w:lang w:val="ru"/>
        </w:rPr>
        <w:t xml:space="preserve">, включая оценку защиты от сексуальной эксплуатации и </w:t>
      </w:r>
      <w:r w:rsidR="006F2410">
        <w:rPr>
          <w:rStyle w:val="a"/>
          <w:lang w:val="ru"/>
        </w:rPr>
        <w:t xml:space="preserve">сексуальных </w:t>
      </w:r>
      <w:r>
        <w:rPr>
          <w:rStyle w:val="a"/>
          <w:lang w:val="ru"/>
        </w:rPr>
        <w:t>надругательств (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 xml:space="preserve">), и получить оценку потенциала </w:t>
      </w:r>
      <w:r w:rsidR="001A3A54">
        <w:rPr>
          <w:rStyle w:val="a"/>
          <w:lang w:val="ru"/>
        </w:rPr>
        <w:t xml:space="preserve">ЗСЭН </w:t>
      </w:r>
      <w:r>
        <w:rPr>
          <w:rStyle w:val="a"/>
          <w:lang w:val="ru"/>
        </w:rPr>
        <w:t xml:space="preserve">на </w:t>
      </w:r>
      <w:r w:rsidR="006F2410">
        <w:rPr>
          <w:rStyle w:val="a"/>
          <w:lang w:val="ru"/>
        </w:rPr>
        <w:t>уровне «</w:t>
      </w:r>
      <w:r>
        <w:rPr>
          <w:rStyle w:val="a"/>
          <w:lang w:val="ru"/>
        </w:rPr>
        <w:t>Полн</w:t>
      </w:r>
      <w:r w:rsidR="006F2410">
        <w:rPr>
          <w:rStyle w:val="a"/>
          <w:lang w:val="ru"/>
        </w:rPr>
        <w:t>ый потенциал»</w:t>
      </w:r>
      <w:r>
        <w:rPr>
          <w:rStyle w:val="a"/>
          <w:lang w:val="ru"/>
        </w:rPr>
        <w:t xml:space="preserve"> или </w:t>
      </w:r>
      <w:r w:rsidR="006F2410">
        <w:rPr>
          <w:rStyle w:val="a"/>
          <w:lang w:val="ru"/>
        </w:rPr>
        <w:t>«Средний потенциал»</w:t>
      </w:r>
      <w:r>
        <w:rPr>
          <w:rStyle w:val="a"/>
          <w:lang w:val="ru"/>
        </w:rPr>
        <w:t xml:space="preserve">. Кроме того, </w:t>
      </w:r>
      <w:r w:rsidR="006F2410">
        <w:rPr>
          <w:rStyle w:val="a"/>
          <w:lang w:val="ru"/>
        </w:rPr>
        <w:t xml:space="preserve">Ведущая </w:t>
      </w:r>
      <w:r>
        <w:rPr>
          <w:rStyle w:val="a"/>
          <w:lang w:val="ru"/>
        </w:rPr>
        <w:t xml:space="preserve">организация должна пройти микрооценку </w:t>
      </w:r>
      <w:r w:rsidR="001A3A54">
        <w:rPr>
          <w:rStyle w:val="a"/>
          <w:lang w:val="ru"/>
        </w:rPr>
        <w:t>СПДП</w:t>
      </w:r>
      <w:r>
        <w:rPr>
          <w:rStyle w:val="a"/>
          <w:lang w:val="ru"/>
        </w:rPr>
        <w:t xml:space="preserve"> и получить </w:t>
      </w:r>
      <w:r w:rsidR="006F2410">
        <w:rPr>
          <w:rStyle w:val="a"/>
          <w:lang w:val="ru"/>
        </w:rPr>
        <w:t>рейтинг</w:t>
      </w:r>
      <w:r>
        <w:rPr>
          <w:rStyle w:val="a"/>
          <w:lang w:val="ru"/>
        </w:rPr>
        <w:t xml:space="preserve"> риска </w:t>
      </w:r>
      <w:r w:rsidR="006F2410">
        <w:rPr>
          <w:rStyle w:val="a"/>
          <w:lang w:val="ru"/>
        </w:rPr>
        <w:t>на уровне «</w:t>
      </w:r>
      <w:r>
        <w:rPr>
          <w:rStyle w:val="a"/>
          <w:lang w:val="ru"/>
        </w:rPr>
        <w:t>низкий</w:t>
      </w:r>
      <w:r w:rsidR="006F2410">
        <w:rPr>
          <w:rStyle w:val="a"/>
          <w:lang w:val="ru"/>
        </w:rPr>
        <w:t>»</w:t>
      </w:r>
      <w:r>
        <w:rPr>
          <w:rStyle w:val="a"/>
          <w:lang w:val="ru"/>
        </w:rPr>
        <w:t xml:space="preserve"> или </w:t>
      </w:r>
      <w:r w:rsidR="006F2410">
        <w:rPr>
          <w:rStyle w:val="a"/>
          <w:lang w:val="ru"/>
        </w:rPr>
        <w:t>«</w:t>
      </w:r>
      <w:r>
        <w:rPr>
          <w:rStyle w:val="a"/>
          <w:lang w:val="ru"/>
        </w:rPr>
        <w:t>умеренный</w:t>
      </w:r>
      <w:r w:rsidR="006F2410">
        <w:rPr>
          <w:rStyle w:val="a"/>
          <w:lang w:val="ru"/>
        </w:rPr>
        <w:t>»</w:t>
      </w:r>
      <w:r>
        <w:rPr>
          <w:rStyle w:val="a"/>
          <w:lang w:val="ru"/>
        </w:rPr>
        <w:t xml:space="preserve"> в целом, а также по </w:t>
      </w:r>
      <w:r>
        <w:rPr>
          <w:rStyle w:val="a"/>
          <w:i/>
          <w:iCs/>
          <w:lang w:val="ru"/>
        </w:rPr>
        <w:t>каждой</w:t>
      </w:r>
      <w:r>
        <w:rPr>
          <w:rStyle w:val="a"/>
          <w:lang w:val="ru"/>
        </w:rPr>
        <w:t xml:space="preserve"> отдельной предметной области микрооценки, </w:t>
      </w:r>
      <w:r w:rsidR="006F2410">
        <w:rPr>
          <w:rStyle w:val="a"/>
          <w:lang w:val="ru"/>
        </w:rPr>
        <w:t>тем самым</w:t>
      </w:r>
      <w:r>
        <w:rPr>
          <w:rStyle w:val="a"/>
          <w:lang w:val="ru"/>
        </w:rPr>
        <w:t xml:space="preserve"> продемонстрирова</w:t>
      </w:r>
      <w:r w:rsidR="006F2410">
        <w:rPr>
          <w:rStyle w:val="a"/>
          <w:lang w:val="ru"/>
        </w:rPr>
        <w:t>в</w:t>
      </w:r>
      <w:r>
        <w:rPr>
          <w:rStyle w:val="a"/>
          <w:lang w:val="ru"/>
        </w:rPr>
        <w:t xml:space="preserve"> строгий финансовый контроль при получен</w:t>
      </w:r>
      <w:r w:rsidR="006F2410">
        <w:rPr>
          <w:rStyle w:val="a"/>
          <w:lang w:val="ru"/>
        </w:rPr>
        <w:t xml:space="preserve">ии средств, выделении средств </w:t>
      </w:r>
      <w:r>
        <w:rPr>
          <w:rStyle w:val="a"/>
          <w:lang w:val="ru"/>
        </w:rPr>
        <w:t>други</w:t>
      </w:r>
      <w:r w:rsidR="006F2410">
        <w:rPr>
          <w:rStyle w:val="a"/>
          <w:lang w:val="ru"/>
        </w:rPr>
        <w:t>м лицам</w:t>
      </w:r>
      <w:r>
        <w:rPr>
          <w:rStyle w:val="a"/>
          <w:lang w:val="ru"/>
        </w:rPr>
        <w:t xml:space="preserve">, </w:t>
      </w:r>
      <w:r w:rsidR="006F2410">
        <w:rPr>
          <w:rStyle w:val="a"/>
          <w:lang w:val="ru"/>
        </w:rPr>
        <w:t>и</w:t>
      </w:r>
      <w:r>
        <w:rPr>
          <w:rStyle w:val="a"/>
          <w:lang w:val="ru"/>
        </w:rPr>
        <w:t xml:space="preserve"> обеспеч</w:t>
      </w:r>
      <w:r w:rsidR="006F2410">
        <w:rPr>
          <w:rStyle w:val="a"/>
          <w:lang w:val="ru"/>
        </w:rPr>
        <w:t>ив мониторинг и надзор</w:t>
      </w:r>
      <w:r>
        <w:rPr>
          <w:rStyle w:val="a"/>
          <w:lang w:val="ru"/>
        </w:rPr>
        <w:t xml:space="preserve"> за </w:t>
      </w:r>
      <w:r w:rsidR="006F2410">
        <w:rPr>
          <w:rStyle w:val="a"/>
          <w:lang w:val="ru"/>
        </w:rPr>
        <w:t>ис</w:t>
      </w:r>
      <w:r>
        <w:rPr>
          <w:rStyle w:val="a"/>
          <w:lang w:val="ru"/>
        </w:rPr>
        <w:t>полнением программ</w:t>
      </w:r>
      <w:r w:rsidR="006F2410">
        <w:rPr>
          <w:rStyle w:val="a"/>
          <w:lang w:val="ru"/>
        </w:rPr>
        <w:t>ы</w:t>
      </w:r>
      <w:r>
        <w:rPr>
          <w:rStyle w:val="a"/>
          <w:lang w:val="ru"/>
        </w:rPr>
        <w:t>, а также мониторингом элементов риска</w:t>
      </w:r>
      <w:r w:rsidR="006F2410">
        <w:rPr>
          <w:rStyle w:val="a"/>
          <w:lang w:val="ru"/>
        </w:rPr>
        <w:t xml:space="preserve"> сексуальной эксплуатации и сексуальных надругательств</w:t>
      </w:r>
      <w:r>
        <w:rPr>
          <w:rStyle w:val="a"/>
          <w:lang w:val="ru"/>
        </w:rPr>
        <w:t>.</w:t>
      </w:r>
      <w:r w:rsidR="001A3A54">
        <w:rPr>
          <w:rStyle w:val="a"/>
          <w:lang w:val="ru"/>
        </w:rPr>
        <w:t xml:space="preserve"> </w:t>
      </w:r>
    </w:p>
    <w:p w14:paraId="17D49BE5" w14:textId="23D51914" w:rsidR="00F56C73" w:rsidRPr="00973DCF" w:rsidRDefault="006F2410">
      <w:pPr>
        <w:pStyle w:val="11"/>
        <w:spacing w:after="480" w:line="310" w:lineRule="auto"/>
        <w:jc w:val="both"/>
        <w:rPr>
          <w:lang w:val="ru-RU"/>
        </w:rPr>
      </w:pPr>
      <w:r>
        <w:rPr>
          <w:rStyle w:val="a"/>
          <w:lang w:val="ru"/>
        </w:rPr>
        <w:t>Второстепенная</w:t>
      </w:r>
      <w:r w:rsidR="000C5F08">
        <w:rPr>
          <w:rStyle w:val="a"/>
          <w:lang w:val="ru"/>
        </w:rPr>
        <w:t xml:space="preserve"> организация (организации) Неформального консорциума может иметь, </w:t>
      </w:r>
      <w:r w:rsidR="001A3A54">
        <w:rPr>
          <w:rStyle w:val="a"/>
          <w:lang w:val="ru"/>
        </w:rPr>
        <w:t>или</w:t>
      </w:r>
      <w:r w:rsidR="000C5F08">
        <w:rPr>
          <w:rStyle w:val="a"/>
          <w:lang w:val="ru"/>
        </w:rPr>
        <w:t xml:space="preserve"> не иметь опыта сотрудничества с ЮНИСЕФ или другим учреждением ООН. Второстепенные организации должны быть зарегистрированы на </w:t>
      </w:r>
      <w:hyperlink r:id="rId13" w:history="1">
        <w:r w:rsidR="000C5F08">
          <w:rPr>
            <w:rStyle w:val="a"/>
            <w:color w:val="00ADEE"/>
            <w:u w:val="single"/>
            <w:lang w:val="ru"/>
          </w:rPr>
          <w:t xml:space="preserve">Партнерском </w:t>
        </w:r>
      </w:hyperlink>
      <w:r w:rsidR="000C5F08" w:rsidRPr="002C304B">
        <w:rPr>
          <w:rStyle w:val="a"/>
          <w:color w:val="00ADEE"/>
          <w:u w:val="single"/>
          <w:lang w:val="ru"/>
        </w:rPr>
        <w:t>портале</w:t>
      </w:r>
      <w:hyperlink r:id="rId14" w:history="1">
        <w:r w:rsidR="000C5F08">
          <w:rPr>
            <w:rStyle w:val="a"/>
            <w:color w:val="00ADEE"/>
            <w:u w:val="single"/>
            <w:lang w:val="ru"/>
          </w:rPr>
          <w:t xml:space="preserve"> ООН</w:t>
        </w:r>
      </w:hyperlink>
      <w:r w:rsidR="000C5F08">
        <w:rPr>
          <w:rStyle w:val="a"/>
          <w:lang w:val="ru"/>
        </w:rPr>
        <w:t xml:space="preserve"> и создать полные профили организаци</w:t>
      </w:r>
      <w:r w:rsidR="002C304B">
        <w:rPr>
          <w:rStyle w:val="a"/>
          <w:lang w:val="ru"/>
        </w:rPr>
        <w:t>и</w:t>
      </w:r>
      <w:r w:rsidR="000C5F08">
        <w:rPr>
          <w:rStyle w:val="a"/>
          <w:lang w:val="ru"/>
        </w:rPr>
        <w:t>.</w:t>
      </w:r>
    </w:p>
    <w:p w14:paraId="526D5012" w14:textId="02D74A7C" w:rsidR="00F56C73" w:rsidRPr="00973DCF" w:rsidRDefault="001A3A54">
      <w:pPr>
        <w:pStyle w:val="11"/>
        <w:numPr>
          <w:ilvl w:val="0"/>
          <w:numId w:val="1"/>
        </w:numPr>
        <w:tabs>
          <w:tab w:val="left" w:pos="493"/>
        </w:tabs>
        <w:ind w:left="480" w:hanging="180"/>
        <w:jc w:val="both"/>
        <w:rPr>
          <w:lang w:val="ru-RU"/>
        </w:rPr>
      </w:pPr>
      <w:r>
        <w:rPr>
          <w:rStyle w:val="a"/>
          <w:b/>
          <w:bCs/>
          <w:lang w:val="ru-RU"/>
        </w:rPr>
        <w:t>Комплексная оценка деятельности</w:t>
      </w:r>
      <w:r w:rsidR="000C5F08">
        <w:rPr>
          <w:rStyle w:val="a"/>
          <w:lang w:val="ru"/>
        </w:rPr>
        <w:t>: Второстепенные организации</w:t>
      </w:r>
      <w:r w:rsidR="002C304B">
        <w:rPr>
          <w:rStyle w:val="a"/>
          <w:lang w:val="ru"/>
        </w:rPr>
        <w:t>,</w:t>
      </w:r>
      <w:r w:rsidR="000C5F08">
        <w:rPr>
          <w:rStyle w:val="a"/>
          <w:lang w:val="ru"/>
        </w:rPr>
        <w:t xml:space="preserve"> </w:t>
      </w:r>
      <w:r w:rsidR="002C304B">
        <w:rPr>
          <w:rStyle w:val="a"/>
          <w:lang w:val="ru"/>
        </w:rPr>
        <w:t xml:space="preserve">которые еще не прошли </w:t>
      </w:r>
      <w:r>
        <w:rPr>
          <w:rStyle w:val="a"/>
          <w:lang w:val="ru"/>
        </w:rPr>
        <w:t>комплексную оценку деятельности</w:t>
      </w:r>
      <w:r w:rsidR="002C304B">
        <w:rPr>
          <w:rStyle w:val="a"/>
          <w:lang w:val="ru"/>
        </w:rPr>
        <w:t xml:space="preserve"> на Партнерском портале ООН через другие учреждения ООН, </w:t>
      </w:r>
      <w:r w:rsidR="000C5F08">
        <w:rPr>
          <w:rStyle w:val="a"/>
          <w:lang w:val="ru"/>
        </w:rPr>
        <w:t>проходят проверку</w:t>
      </w:r>
      <w:r w:rsidR="002C304B">
        <w:rPr>
          <w:rStyle w:val="a"/>
          <w:lang w:val="ru"/>
        </w:rPr>
        <w:t xml:space="preserve"> </w:t>
      </w:r>
      <w:r w:rsidR="000C5F08">
        <w:rPr>
          <w:rStyle w:val="a"/>
          <w:lang w:val="ru"/>
        </w:rPr>
        <w:t>ЮНИСЕ</w:t>
      </w:r>
      <w:r w:rsidR="002C304B">
        <w:rPr>
          <w:rStyle w:val="a"/>
          <w:lang w:val="ru"/>
        </w:rPr>
        <w:t>Ф</w:t>
      </w:r>
      <w:r w:rsidR="000C5F08">
        <w:rPr>
          <w:rStyle w:val="a"/>
          <w:lang w:val="ru"/>
        </w:rPr>
        <w:t xml:space="preserve">. ЮНИСЕФ имеет право, по своему усмотрению, </w:t>
      </w:r>
      <w:r w:rsidR="002C304B">
        <w:rPr>
          <w:rStyle w:val="a"/>
          <w:lang w:val="ru"/>
        </w:rPr>
        <w:t>попросить</w:t>
      </w:r>
      <w:r w:rsidR="000C5F08">
        <w:rPr>
          <w:rStyle w:val="a"/>
          <w:lang w:val="ru"/>
        </w:rPr>
        <w:t xml:space="preserve"> Ведущ</w:t>
      </w:r>
      <w:r w:rsidR="002C304B">
        <w:rPr>
          <w:rStyle w:val="a"/>
          <w:lang w:val="ru"/>
        </w:rPr>
        <w:t>ую</w:t>
      </w:r>
      <w:r w:rsidR="000C5F08">
        <w:rPr>
          <w:rStyle w:val="a"/>
          <w:lang w:val="ru"/>
        </w:rPr>
        <w:t xml:space="preserve"> организаци</w:t>
      </w:r>
      <w:r w:rsidR="002C304B">
        <w:rPr>
          <w:rStyle w:val="a"/>
          <w:lang w:val="ru"/>
        </w:rPr>
        <w:t>ю</w:t>
      </w:r>
      <w:r w:rsidR="000C5F08">
        <w:rPr>
          <w:rStyle w:val="a"/>
          <w:lang w:val="ru"/>
        </w:rPr>
        <w:t xml:space="preserve"> </w:t>
      </w:r>
      <w:r w:rsidR="002C304B">
        <w:rPr>
          <w:rStyle w:val="a"/>
          <w:lang w:val="ru"/>
        </w:rPr>
        <w:t>Неформального</w:t>
      </w:r>
      <w:r w:rsidR="000C5F08">
        <w:rPr>
          <w:rStyle w:val="a"/>
          <w:lang w:val="ru"/>
        </w:rPr>
        <w:t xml:space="preserve"> консорциума заменить любые потенциальные </w:t>
      </w:r>
      <w:r w:rsidR="002C304B">
        <w:rPr>
          <w:rStyle w:val="a"/>
          <w:lang w:val="ru"/>
        </w:rPr>
        <w:t>Второстепенные</w:t>
      </w:r>
      <w:r w:rsidR="000C5F08">
        <w:rPr>
          <w:rStyle w:val="a"/>
          <w:lang w:val="ru"/>
        </w:rPr>
        <w:t xml:space="preserve"> организации, которые не </w:t>
      </w:r>
      <w:r w:rsidR="002C304B">
        <w:rPr>
          <w:rStyle w:val="a"/>
          <w:lang w:val="ru"/>
        </w:rPr>
        <w:t xml:space="preserve">прошли </w:t>
      </w:r>
      <w:r>
        <w:rPr>
          <w:rStyle w:val="a"/>
          <w:lang w:val="ru"/>
        </w:rPr>
        <w:t>комплексную оценку деятельности</w:t>
      </w:r>
      <w:r w:rsidR="000C5F08">
        <w:rPr>
          <w:rStyle w:val="a"/>
          <w:lang w:val="ru"/>
        </w:rPr>
        <w:t>.</w:t>
      </w:r>
    </w:p>
    <w:p w14:paraId="46A5B601" w14:textId="59E16F37" w:rsidR="00F56C73" w:rsidRPr="00973DCF" w:rsidRDefault="000C5F08" w:rsidP="002C304B">
      <w:pPr>
        <w:pStyle w:val="11"/>
        <w:numPr>
          <w:ilvl w:val="0"/>
          <w:numId w:val="1"/>
        </w:numPr>
        <w:tabs>
          <w:tab w:val="left" w:pos="493"/>
        </w:tabs>
        <w:ind w:left="480" w:hanging="180"/>
        <w:jc w:val="both"/>
        <w:rPr>
          <w:lang w:val="ru-RU"/>
        </w:rPr>
      </w:pPr>
      <w:r>
        <w:rPr>
          <w:rStyle w:val="a"/>
          <w:b/>
          <w:bCs/>
          <w:lang w:val="ru"/>
        </w:rPr>
        <w:t xml:space="preserve">Защита от сексуальной эксплуатации и </w:t>
      </w:r>
      <w:r w:rsidR="002C304B">
        <w:rPr>
          <w:rStyle w:val="a"/>
          <w:b/>
          <w:bCs/>
          <w:lang w:val="ru"/>
        </w:rPr>
        <w:t xml:space="preserve">сексуальных </w:t>
      </w:r>
      <w:r>
        <w:rPr>
          <w:rStyle w:val="a"/>
          <w:b/>
          <w:bCs/>
          <w:lang w:val="ru"/>
        </w:rPr>
        <w:t>надругательств (</w:t>
      </w:r>
      <w:r w:rsidR="001A3A54">
        <w:rPr>
          <w:rStyle w:val="a"/>
          <w:b/>
          <w:bCs/>
          <w:lang w:val="ru"/>
        </w:rPr>
        <w:t>ЗСЭН</w:t>
      </w:r>
      <w:r>
        <w:rPr>
          <w:rStyle w:val="a"/>
          <w:b/>
          <w:bCs/>
          <w:lang w:val="ru"/>
        </w:rPr>
        <w:t>):</w:t>
      </w:r>
      <w:r>
        <w:rPr>
          <w:rStyle w:val="a"/>
          <w:lang w:val="ru"/>
        </w:rPr>
        <w:t xml:space="preserve"> В ходе разработки программного документа Ведущая организация должна указать, будет ли </w:t>
      </w:r>
      <w:r w:rsidR="002C304B">
        <w:rPr>
          <w:rStyle w:val="a"/>
          <w:lang w:val="ru"/>
        </w:rPr>
        <w:t>Второстепенная</w:t>
      </w:r>
      <w:r>
        <w:rPr>
          <w:rStyle w:val="a"/>
          <w:lang w:val="ru"/>
        </w:rPr>
        <w:t xml:space="preserve"> организация осуществлять меро</w:t>
      </w:r>
      <w:r w:rsidR="002C304B">
        <w:rPr>
          <w:rStyle w:val="a"/>
          <w:lang w:val="ru"/>
        </w:rPr>
        <w:t>приятия, предполагающие контакт</w:t>
      </w:r>
      <w:r>
        <w:rPr>
          <w:rStyle w:val="a"/>
          <w:lang w:val="ru"/>
        </w:rPr>
        <w:t xml:space="preserve"> с бенефициарами. Если </w:t>
      </w:r>
      <w:r w:rsidR="002C304B">
        <w:rPr>
          <w:rStyle w:val="a"/>
          <w:lang w:val="ru"/>
        </w:rPr>
        <w:t xml:space="preserve">Второстепенная </w:t>
      </w:r>
      <w:r>
        <w:rPr>
          <w:rStyle w:val="a"/>
          <w:lang w:val="ru"/>
        </w:rPr>
        <w:t xml:space="preserve">организация отвечает за осуществление мероприятий, </w:t>
      </w:r>
      <w:r w:rsidR="002C304B">
        <w:rPr>
          <w:rStyle w:val="a"/>
          <w:lang w:val="ru"/>
        </w:rPr>
        <w:t>предполагающих контакт с бенефициарами</w:t>
      </w:r>
      <w:r>
        <w:rPr>
          <w:rStyle w:val="a"/>
          <w:lang w:val="ru"/>
        </w:rPr>
        <w:t>, ЮНИСЕФ совместно с Ведущей организацией предприм</w:t>
      </w:r>
      <w:r w:rsidR="002C304B">
        <w:rPr>
          <w:rStyle w:val="a"/>
          <w:lang w:val="ru"/>
        </w:rPr>
        <w:t>е</w:t>
      </w:r>
      <w:r>
        <w:rPr>
          <w:rStyle w:val="a"/>
          <w:lang w:val="ru"/>
        </w:rPr>
        <w:t xml:space="preserve">т как минимум одно из двух следующих действий для обеспечения управления рисками </w:t>
      </w:r>
      <w:r w:rsidR="002C304B" w:rsidRPr="002C304B">
        <w:rPr>
          <w:rStyle w:val="a"/>
          <w:lang w:val="ru"/>
        </w:rPr>
        <w:t xml:space="preserve">сексуальной эксплуатации и сексуальных надругательств </w:t>
      </w:r>
      <w:r>
        <w:rPr>
          <w:rStyle w:val="a"/>
          <w:lang w:val="ru"/>
        </w:rPr>
        <w:t xml:space="preserve">и их снижения (ЮНИСЕФ и Ведущая организация могут принять решение о проведении обоих </w:t>
      </w:r>
      <w:r w:rsidR="002C304B">
        <w:rPr>
          <w:rStyle w:val="a"/>
          <w:lang w:val="ru"/>
        </w:rPr>
        <w:t>действий</w:t>
      </w:r>
      <w:r>
        <w:rPr>
          <w:rStyle w:val="a"/>
          <w:lang w:val="ru"/>
        </w:rPr>
        <w:t>).</w:t>
      </w:r>
      <w:r w:rsidR="002C304B">
        <w:rPr>
          <w:rStyle w:val="a"/>
          <w:lang w:val="ru"/>
        </w:rPr>
        <w:t xml:space="preserve"> </w:t>
      </w:r>
    </w:p>
    <w:p w14:paraId="5E441AAE" w14:textId="2AADE709" w:rsidR="00F56C73" w:rsidRPr="00E97EAF" w:rsidRDefault="000C5F08">
      <w:pPr>
        <w:pStyle w:val="11"/>
        <w:numPr>
          <w:ilvl w:val="0"/>
          <w:numId w:val="2"/>
        </w:numPr>
        <w:tabs>
          <w:tab w:val="left" w:pos="1302"/>
        </w:tabs>
        <w:spacing w:after="300" w:line="319" w:lineRule="auto"/>
        <w:ind w:left="1280" w:hanging="180"/>
        <w:jc w:val="both"/>
        <w:rPr>
          <w:lang w:val="ru-RU"/>
        </w:rPr>
      </w:pPr>
      <w:r>
        <w:rPr>
          <w:rStyle w:val="a"/>
          <w:lang w:val="ru"/>
        </w:rPr>
        <w:t xml:space="preserve">Включение программных результатов и мероприятий 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 xml:space="preserve"> в программный документ для обеспечения </w:t>
      </w:r>
      <w:r w:rsidR="002C304B">
        <w:rPr>
          <w:rStyle w:val="a"/>
          <w:lang w:val="ru"/>
        </w:rPr>
        <w:t>надлежащих</w:t>
      </w:r>
      <w:r>
        <w:rPr>
          <w:rStyle w:val="a"/>
          <w:lang w:val="ru"/>
        </w:rPr>
        <w:t xml:space="preserve"> мер по предотвращению </w:t>
      </w:r>
      <w:r w:rsidR="002C304B" w:rsidRPr="002C304B">
        <w:rPr>
          <w:rStyle w:val="a"/>
          <w:lang w:val="ru"/>
        </w:rPr>
        <w:t xml:space="preserve">сексуальной эксплуатации и сексуальных надругательств </w:t>
      </w:r>
      <w:r>
        <w:rPr>
          <w:rStyle w:val="a"/>
          <w:lang w:val="ru"/>
        </w:rPr>
        <w:t xml:space="preserve">и реагированию на </w:t>
      </w:r>
      <w:r w:rsidR="002C304B">
        <w:rPr>
          <w:rStyle w:val="a"/>
          <w:lang w:val="ru"/>
        </w:rPr>
        <w:t>них</w:t>
      </w:r>
      <w:r>
        <w:rPr>
          <w:rStyle w:val="a"/>
          <w:lang w:val="ru"/>
        </w:rPr>
        <w:t xml:space="preserve"> при осуществлении мероприятий по субподряду. В идеале этот минимальный результат должен быть распространен и на другие виды </w:t>
      </w:r>
      <w:r w:rsidR="002C304B">
        <w:rPr>
          <w:rStyle w:val="a"/>
          <w:lang w:val="ru"/>
        </w:rPr>
        <w:t>защиты от вреда</w:t>
      </w:r>
      <w:r>
        <w:rPr>
          <w:rStyle w:val="a"/>
          <w:lang w:val="ru"/>
        </w:rPr>
        <w:t xml:space="preserve">. Как минимум, комплекс мероприятий должен включать: 1. Подписание Кодекса поведения, включая 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 xml:space="preserve">, 2. Обучение персонала, 3. Наличие механизмов подачи жалоб/отчетности, 4. Распространение информации об этих механизмах среди отдельных лиц и </w:t>
      </w:r>
      <w:r>
        <w:rPr>
          <w:rStyle w:val="a"/>
          <w:lang w:val="ru"/>
        </w:rPr>
        <w:lastRenderedPageBreak/>
        <w:t xml:space="preserve">сообществ, и 5. Составление списка поставщиков услуг по оказанию помощи жертвам. Другие </w:t>
      </w:r>
      <w:r w:rsidR="00E97EAF">
        <w:rPr>
          <w:rStyle w:val="a"/>
          <w:lang w:val="ru"/>
        </w:rPr>
        <w:t>действия</w:t>
      </w:r>
      <w:r>
        <w:rPr>
          <w:rStyle w:val="a"/>
          <w:lang w:val="ru"/>
        </w:rPr>
        <w:t xml:space="preserve"> могут включать в себя другие </w:t>
      </w:r>
      <w:r w:rsidR="00E97EAF">
        <w:rPr>
          <w:rStyle w:val="a"/>
          <w:lang w:val="ru"/>
        </w:rPr>
        <w:t>аспекты</w:t>
      </w:r>
      <w:r>
        <w:rPr>
          <w:rStyle w:val="a"/>
          <w:lang w:val="ru"/>
        </w:rPr>
        <w:t xml:space="preserve"> безопасно</w:t>
      </w:r>
      <w:r w:rsidR="00E97EAF">
        <w:rPr>
          <w:rStyle w:val="a"/>
          <w:lang w:val="ru"/>
        </w:rPr>
        <w:t xml:space="preserve">сти при составлении </w:t>
      </w:r>
      <w:r>
        <w:rPr>
          <w:rStyle w:val="a"/>
          <w:lang w:val="ru"/>
        </w:rPr>
        <w:t xml:space="preserve">программ. Осуществление программных мероприятий </w:t>
      </w:r>
      <w:r w:rsidR="001A3A54">
        <w:rPr>
          <w:rStyle w:val="a"/>
          <w:lang w:val="ru"/>
        </w:rPr>
        <w:t xml:space="preserve">ЗСЭН </w:t>
      </w:r>
      <w:r>
        <w:rPr>
          <w:rStyle w:val="a"/>
          <w:lang w:val="ru"/>
        </w:rPr>
        <w:t xml:space="preserve">контролируется </w:t>
      </w:r>
      <w:r w:rsidR="00E97EAF">
        <w:rPr>
          <w:rStyle w:val="a"/>
          <w:lang w:val="ru"/>
        </w:rPr>
        <w:t xml:space="preserve">двумя способами: </w:t>
      </w:r>
      <w:r>
        <w:rPr>
          <w:rStyle w:val="a"/>
          <w:lang w:val="ru"/>
        </w:rPr>
        <w:t xml:space="preserve">во время ознакомительного визита по программе (см. Модуль 4, раздел 1) и </w:t>
      </w:r>
      <w:r w:rsidR="00E97EAF">
        <w:rPr>
          <w:rStyle w:val="a"/>
          <w:lang w:val="ru"/>
        </w:rPr>
        <w:t>путем</w:t>
      </w:r>
      <w:r>
        <w:rPr>
          <w:rStyle w:val="a"/>
          <w:lang w:val="ru"/>
        </w:rPr>
        <w:t xml:space="preserve"> представления отчета о ходе выполнения</w:t>
      </w:r>
      <w:r w:rsidR="00E97EAF">
        <w:rPr>
          <w:rStyle w:val="a"/>
          <w:lang w:val="ru"/>
        </w:rPr>
        <w:t xml:space="preserve"> программы</w:t>
      </w:r>
      <w:r>
        <w:rPr>
          <w:rStyle w:val="a"/>
          <w:lang w:val="ru"/>
        </w:rPr>
        <w:t>.</w:t>
      </w:r>
    </w:p>
    <w:p w14:paraId="75C068A3" w14:textId="2C235332" w:rsidR="00F56C73" w:rsidRPr="00973DCF" w:rsidRDefault="000C5F08">
      <w:pPr>
        <w:pStyle w:val="11"/>
        <w:numPr>
          <w:ilvl w:val="0"/>
          <w:numId w:val="2"/>
        </w:numPr>
        <w:tabs>
          <w:tab w:val="left" w:pos="1302"/>
        </w:tabs>
        <w:spacing w:line="319" w:lineRule="auto"/>
        <w:ind w:left="1280" w:hanging="180"/>
        <w:jc w:val="both"/>
        <w:rPr>
          <w:lang w:val="ru-RU"/>
        </w:rPr>
      </w:pPr>
      <w:r>
        <w:rPr>
          <w:rStyle w:val="a"/>
          <w:lang w:val="ru"/>
        </w:rPr>
        <w:t xml:space="preserve">Оценка </w:t>
      </w:r>
      <w:r w:rsidR="001A3A54">
        <w:rPr>
          <w:rStyle w:val="a"/>
          <w:lang w:val="ru"/>
        </w:rPr>
        <w:t xml:space="preserve">ЗСЭН </w:t>
      </w:r>
      <w:r w:rsidR="00E97EAF">
        <w:rPr>
          <w:rStyle w:val="a"/>
          <w:lang w:val="ru"/>
        </w:rPr>
        <w:t>Второстепенной</w:t>
      </w:r>
      <w:r>
        <w:rPr>
          <w:rStyle w:val="a"/>
          <w:lang w:val="ru"/>
        </w:rPr>
        <w:t xml:space="preserve"> организации</w:t>
      </w:r>
      <w:r w:rsidR="00E97EAF">
        <w:rPr>
          <w:rStyle w:val="a"/>
          <w:lang w:val="ru"/>
        </w:rPr>
        <w:t>, проводимая</w:t>
      </w:r>
      <w:r>
        <w:rPr>
          <w:rStyle w:val="a"/>
          <w:lang w:val="ru"/>
        </w:rPr>
        <w:t xml:space="preserve"> в течение 6 месяцев (рекомендуется 3 месяца) с момента подписания программного документа </w:t>
      </w:r>
      <w:r w:rsidR="00E97EAF">
        <w:rPr>
          <w:rStyle w:val="a"/>
          <w:lang w:val="ru"/>
        </w:rPr>
        <w:t>Ведущей</w:t>
      </w:r>
      <w:r>
        <w:rPr>
          <w:rStyle w:val="a"/>
          <w:lang w:val="ru"/>
        </w:rPr>
        <w:t xml:space="preserve"> организацией</w:t>
      </w:r>
      <w:r w:rsidR="00E97EAF">
        <w:rPr>
          <w:rStyle w:val="a"/>
          <w:lang w:val="ru"/>
        </w:rPr>
        <w:t xml:space="preserve">. </w:t>
      </w:r>
      <w:r w:rsidR="001A3A54">
        <w:rPr>
          <w:rStyle w:val="a"/>
          <w:lang w:val="ru"/>
        </w:rPr>
        <w:t>Данная</w:t>
      </w:r>
      <w:r w:rsidR="00E97EAF">
        <w:rPr>
          <w:rStyle w:val="a"/>
          <w:lang w:val="ru"/>
        </w:rPr>
        <w:t xml:space="preserve"> оценка проводится при поддержке ЮНИСЕФ. Е</w:t>
      </w:r>
      <w:r>
        <w:rPr>
          <w:rStyle w:val="a"/>
          <w:lang w:val="ru"/>
        </w:rPr>
        <w:t xml:space="preserve">сли партнер не может провести оценку 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 xml:space="preserve">, оценку проводит ЮНИСЕФ. После завершения оценки </w:t>
      </w:r>
      <w:r w:rsidR="001A3A54">
        <w:rPr>
          <w:rStyle w:val="a"/>
          <w:lang w:val="ru"/>
        </w:rPr>
        <w:t xml:space="preserve">ЗСЭН </w:t>
      </w:r>
      <w:r>
        <w:rPr>
          <w:rStyle w:val="a"/>
          <w:lang w:val="ru"/>
        </w:rPr>
        <w:t xml:space="preserve">результаты </w:t>
      </w:r>
      <w:r w:rsidR="00E97EAF">
        <w:rPr>
          <w:rStyle w:val="a"/>
          <w:lang w:val="ru"/>
        </w:rPr>
        <w:t xml:space="preserve">этой </w:t>
      </w:r>
      <w:r>
        <w:rPr>
          <w:rStyle w:val="a"/>
          <w:lang w:val="ru"/>
        </w:rPr>
        <w:t>оценки и подтверждающая документация должны быть предоставлены ЮНИСЕФ</w:t>
      </w:r>
      <w:r w:rsidR="00E97EAF">
        <w:rPr>
          <w:rStyle w:val="a"/>
          <w:lang w:val="ru"/>
        </w:rPr>
        <w:t>. Также эти документы должны быть</w:t>
      </w:r>
      <w:r>
        <w:rPr>
          <w:rStyle w:val="a"/>
          <w:lang w:val="ru"/>
        </w:rPr>
        <w:t xml:space="preserve"> загружены в профиль </w:t>
      </w:r>
      <w:r w:rsidR="001A3A54">
        <w:rPr>
          <w:rStyle w:val="a"/>
          <w:lang w:val="ru"/>
        </w:rPr>
        <w:t>на Партнерском портале ООН</w:t>
      </w:r>
      <w:r>
        <w:rPr>
          <w:rStyle w:val="a"/>
          <w:lang w:val="ru"/>
        </w:rPr>
        <w:t xml:space="preserve"> </w:t>
      </w:r>
      <w:r w:rsidR="00E97EAF">
        <w:rPr>
          <w:rStyle w:val="a"/>
          <w:lang w:val="ru"/>
        </w:rPr>
        <w:t xml:space="preserve">Второстепенной </w:t>
      </w:r>
      <w:r>
        <w:rPr>
          <w:rStyle w:val="a"/>
          <w:lang w:val="ru"/>
        </w:rPr>
        <w:t xml:space="preserve">организации. На основании результатов оценки 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 xml:space="preserve">, если </w:t>
      </w:r>
      <w:r w:rsidR="00E97EAF">
        <w:rPr>
          <w:rStyle w:val="a"/>
          <w:lang w:val="ru"/>
        </w:rPr>
        <w:t xml:space="preserve">Второстепенная </w:t>
      </w:r>
      <w:r>
        <w:rPr>
          <w:rStyle w:val="a"/>
          <w:lang w:val="ru"/>
        </w:rPr>
        <w:t>организация не обладает полн</w:t>
      </w:r>
      <w:r w:rsidR="00E97EAF">
        <w:rPr>
          <w:rStyle w:val="a"/>
          <w:lang w:val="ru"/>
        </w:rPr>
        <w:t>ым</w:t>
      </w:r>
      <w:r>
        <w:rPr>
          <w:rStyle w:val="a"/>
          <w:lang w:val="ru"/>
        </w:rPr>
        <w:t xml:space="preserve"> </w:t>
      </w:r>
      <w:r w:rsidR="00E97EAF">
        <w:rPr>
          <w:rStyle w:val="a"/>
          <w:lang w:val="ru"/>
        </w:rPr>
        <w:t xml:space="preserve">потенциалом </w:t>
      </w:r>
      <w:r>
        <w:rPr>
          <w:rStyle w:val="a"/>
          <w:lang w:val="ru"/>
        </w:rPr>
        <w:t>(</w:t>
      </w:r>
      <w:r w:rsidR="001A3A54">
        <w:rPr>
          <w:rStyle w:val="a"/>
          <w:lang w:val="ru"/>
        </w:rPr>
        <w:t>т. е.</w:t>
      </w:r>
      <w:r>
        <w:rPr>
          <w:rStyle w:val="a"/>
          <w:lang w:val="ru"/>
        </w:rPr>
        <w:t xml:space="preserve"> он оценивается как низк</w:t>
      </w:r>
      <w:r w:rsidR="00E97EAF">
        <w:rPr>
          <w:rStyle w:val="a"/>
          <w:lang w:val="ru"/>
        </w:rPr>
        <w:t>ий</w:t>
      </w:r>
      <w:r>
        <w:rPr>
          <w:rStyle w:val="a"/>
          <w:lang w:val="ru"/>
        </w:rPr>
        <w:t xml:space="preserve"> или умеренн</w:t>
      </w:r>
      <w:r w:rsidR="00E97EAF">
        <w:rPr>
          <w:rStyle w:val="a"/>
          <w:lang w:val="ru"/>
        </w:rPr>
        <w:t>ый</w:t>
      </w:r>
      <w:r>
        <w:rPr>
          <w:rStyle w:val="a"/>
          <w:lang w:val="ru"/>
        </w:rPr>
        <w:t xml:space="preserve"> </w:t>
      </w:r>
      <w:r w:rsidR="00E97EAF">
        <w:rPr>
          <w:rStyle w:val="a"/>
          <w:lang w:val="ru"/>
        </w:rPr>
        <w:t>с точки зрения</w:t>
      </w:r>
      <w:r>
        <w:rPr>
          <w:rStyle w:val="a"/>
          <w:lang w:val="ru"/>
        </w:rPr>
        <w:t xml:space="preserve"> 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 xml:space="preserve">), </w:t>
      </w:r>
      <w:r w:rsidR="00E97EAF">
        <w:rPr>
          <w:rStyle w:val="a"/>
          <w:lang w:val="ru"/>
        </w:rPr>
        <w:t xml:space="preserve">то </w:t>
      </w:r>
      <w:r>
        <w:rPr>
          <w:rStyle w:val="a"/>
          <w:lang w:val="ru"/>
        </w:rPr>
        <w:t>разрабатывается план внедрения мер по укреплению потенциала (</w:t>
      </w:r>
      <w:r w:rsidR="00925104">
        <w:rPr>
          <w:rStyle w:val="a"/>
          <w:lang w:val="ru"/>
        </w:rPr>
        <w:t>ПМУП</w:t>
      </w:r>
      <w:r>
        <w:rPr>
          <w:rStyle w:val="a"/>
          <w:lang w:val="ru"/>
        </w:rPr>
        <w:t xml:space="preserve">), и </w:t>
      </w:r>
      <w:r w:rsidR="00E97EAF">
        <w:rPr>
          <w:rStyle w:val="a"/>
          <w:lang w:val="ru"/>
        </w:rPr>
        <w:t>через</w:t>
      </w:r>
      <w:r>
        <w:rPr>
          <w:rStyle w:val="a"/>
          <w:lang w:val="ru"/>
        </w:rPr>
        <w:t xml:space="preserve"> 6 месяцев проводится </w:t>
      </w:r>
      <w:r w:rsidR="00E97EAF">
        <w:rPr>
          <w:rStyle w:val="a"/>
          <w:lang w:val="ru"/>
        </w:rPr>
        <w:t>повторная оценка</w:t>
      </w:r>
      <w:r>
        <w:rPr>
          <w:rStyle w:val="a"/>
          <w:lang w:val="ru"/>
        </w:rPr>
        <w:t xml:space="preserve"> </w:t>
      </w:r>
      <w:r w:rsidR="00E97EAF">
        <w:rPr>
          <w:rStyle w:val="a"/>
          <w:lang w:val="ru"/>
        </w:rPr>
        <w:t xml:space="preserve">Второстепенной </w:t>
      </w:r>
      <w:r>
        <w:rPr>
          <w:rStyle w:val="a"/>
          <w:lang w:val="ru"/>
        </w:rPr>
        <w:t xml:space="preserve">организации. План </w:t>
      </w:r>
      <w:r w:rsidR="00925104">
        <w:rPr>
          <w:rStyle w:val="a"/>
          <w:lang w:val="ru"/>
        </w:rPr>
        <w:t xml:space="preserve">мер по укреплению потенциала </w:t>
      </w:r>
      <w:r>
        <w:rPr>
          <w:rStyle w:val="a"/>
          <w:lang w:val="ru"/>
        </w:rPr>
        <w:t xml:space="preserve">должен включать </w:t>
      </w:r>
      <w:r w:rsidR="00E97EAF">
        <w:rPr>
          <w:rStyle w:val="a"/>
          <w:lang w:val="ru"/>
        </w:rPr>
        <w:t>расширенные</w:t>
      </w:r>
      <w:r>
        <w:rPr>
          <w:rStyle w:val="a"/>
          <w:lang w:val="ru"/>
        </w:rPr>
        <w:t xml:space="preserve"> меры по обеспечению безопасности (помимо 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>)</w:t>
      </w:r>
      <w:r w:rsidR="00E97EAF">
        <w:rPr>
          <w:rStyle w:val="a"/>
          <w:lang w:val="ru"/>
        </w:rPr>
        <w:t xml:space="preserve">, особенно в тех случаях, когда </w:t>
      </w:r>
      <w:r>
        <w:rPr>
          <w:rStyle w:val="a"/>
          <w:lang w:val="ru"/>
        </w:rPr>
        <w:t>основно</w:t>
      </w:r>
      <w:r w:rsidR="00E97EAF">
        <w:rPr>
          <w:rStyle w:val="a"/>
          <w:lang w:val="ru"/>
        </w:rPr>
        <w:t>й</w:t>
      </w:r>
      <w:r>
        <w:rPr>
          <w:rStyle w:val="a"/>
          <w:lang w:val="ru"/>
        </w:rPr>
        <w:t xml:space="preserve"> стандарт</w:t>
      </w:r>
      <w:r w:rsidR="00E97EAF">
        <w:rPr>
          <w:rStyle w:val="a"/>
          <w:lang w:val="ru"/>
        </w:rPr>
        <w:t xml:space="preserve"> отмечается как «НЕТ»</w:t>
      </w:r>
      <w:r>
        <w:rPr>
          <w:rStyle w:val="a"/>
          <w:lang w:val="ru"/>
        </w:rPr>
        <w:t xml:space="preserve"> в оценке </w:t>
      </w:r>
      <w:r w:rsidR="001A3A54">
        <w:rPr>
          <w:rStyle w:val="a"/>
          <w:lang w:val="ru"/>
        </w:rPr>
        <w:t>ЗСЭН</w:t>
      </w:r>
      <w:r>
        <w:rPr>
          <w:rStyle w:val="a"/>
          <w:lang w:val="ru"/>
        </w:rPr>
        <w:t>.</w:t>
      </w:r>
      <w:r w:rsidR="00E97EAF">
        <w:rPr>
          <w:rStyle w:val="a"/>
          <w:lang w:val="ru"/>
        </w:rPr>
        <w:t xml:space="preserve"> </w:t>
      </w:r>
    </w:p>
    <w:p w14:paraId="717B36D7" w14:textId="77777777" w:rsidR="00F56C73" w:rsidRPr="00973DCF" w:rsidRDefault="000C5F08">
      <w:pPr>
        <w:pStyle w:val="11"/>
        <w:spacing w:line="310" w:lineRule="auto"/>
        <w:jc w:val="both"/>
        <w:rPr>
          <w:lang w:val="ru-RU"/>
        </w:rPr>
      </w:pPr>
      <w:r>
        <w:rPr>
          <w:rStyle w:val="a"/>
          <w:lang w:val="ru"/>
        </w:rPr>
        <w:t xml:space="preserve">Наряду с подписанием Программного документа между ЮНИСЕФ и </w:t>
      </w:r>
      <w:r w:rsidR="00E97EAF">
        <w:rPr>
          <w:rStyle w:val="a"/>
          <w:lang w:val="ru"/>
        </w:rPr>
        <w:t>Ведущей</w:t>
      </w:r>
      <w:r>
        <w:rPr>
          <w:rStyle w:val="a"/>
          <w:lang w:val="ru"/>
        </w:rPr>
        <w:t xml:space="preserve"> организацией </w:t>
      </w:r>
      <w:r w:rsidR="00E97EAF">
        <w:rPr>
          <w:rStyle w:val="a"/>
          <w:lang w:val="ru"/>
        </w:rPr>
        <w:t>Неформального</w:t>
      </w:r>
      <w:r>
        <w:rPr>
          <w:rStyle w:val="a"/>
          <w:lang w:val="ru"/>
        </w:rPr>
        <w:t xml:space="preserve"> консорциума, </w:t>
      </w:r>
      <w:r w:rsidR="00E97EAF">
        <w:rPr>
          <w:rStyle w:val="a"/>
          <w:lang w:val="ru"/>
        </w:rPr>
        <w:t xml:space="preserve">Ведущая </w:t>
      </w:r>
      <w:r>
        <w:rPr>
          <w:rStyle w:val="a"/>
          <w:lang w:val="ru"/>
        </w:rPr>
        <w:t xml:space="preserve">организация </w:t>
      </w:r>
      <w:r>
        <w:rPr>
          <w:rStyle w:val="a"/>
          <w:i/>
          <w:iCs/>
          <w:lang w:val="ru"/>
        </w:rPr>
        <w:t>должна</w:t>
      </w:r>
      <w:r>
        <w:rPr>
          <w:rStyle w:val="a"/>
          <w:lang w:val="ru"/>
        </w:rPr>
        <w:t xml:space="preserve"> предоставить ЮНИСЕФ копию письменного соглашения консорциума, подписанного </w:t>
      </w:r>
      <w:r w:rsidR="00E97EAF">
        <w:rPr>
          <w:rStyle w:val="a"/>
          <w:lang w:val="ru"/>
        </w:rPr>
        <w:t>Ведущей</w:t>
      </w:r>
      <w:r>
        <w:rPr>
          <w:rStyle w:val="a"/>
          <w:lang w:val="ru"/>
        </w:rPr>
        <w:t xml:space="preserve"> организацией и всеми </w:t>
      </w:r>
      <w:r w:rsidR="00E97EAF">
        <w:rPr>
          <w:rStyle w:val="a"/>
          <w:lang w:val="ru"/>
        </w:rPr>
        <w:t>Второстепенными</w:t>
      </w:r>
      <w:r>
        <w:rPr>
          <w:rStyle w:val="a"/>
          <w:lang w:val="ru"/>
        </w:rPr>
        <w:t xml:space="preserve"> организациями. </w:t>
      </w:r>
      <w:r w:rsidR="00E97EAF">
        <w:rPr>
          <w:rStyle w:val="a"/>
          <w:lang w:val="ru"/>
        </w:rPr>
        <w:t>Неформальный</w:t>
      </w:r>
      <w:r>
        <w:rPr>
          <w:rStyle w:val="a"/>
          <w:lang w:val="ru"/>
        </w:rPr>
        <w:t xml:space="preserve"> консорциум должен разработать содержание соглашения, подписанного между его участниками, </w:t>
      </w:r>
      <w:r w:rsidR="000E157D">
        <w:rPr>
          <w:rStyle w:val="a"/>
          <w:lang w:val="ru"/>
        </w:rPr>
        <w:t>в котором должны быть изложены следующие</w:t>
      </w:r>
      <w:r>
        <w:rPr>
          <w:rStyle w:val="a"/>
          <w:lang w:val="ru"/>
        </w:rPr>
        <w:t xml:space="preserve"> минимальные требования:</w:t>
      </w:r>
      <w:r>
        <w:rPr>
          <w:rStyle w:val="a"/>
          <w:lang w:val="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6763"/>
      </w:tblGrid>
      <w:tr w:rsidR="00F56C73" w14:paraId="75BB8631" w14:textId="77777777">
        <w:trPr>
          <w:trHeight w:hRule="exact" w:val="32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3B93D" w14:textId="77777777" w:rsidR="00F56C73" w:rsidRDefault="000C5F08">
            <w:pPr>
              <w:pStyle w:val="a1"/>
              <w:spacing w:after="0" w:line="240" w:lineRule="auto"/>
            </w:pPr>
            <w:r>
              <w:rPr>
                <w:rStyle w:val="a0"/>
                <w:b/>
                <w:bCs/>
                <w:color w:val="00ADEE"/>
                <w:lang w:val="ru"/>
              </w:rPr>
              <w:lastRenderedPageBreak/>
              <w:t>Раздел соглашения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618A1" w14:textId="77777777" w:rsidR="00F56C73" w:rsidRDefault="000C5F08">
            <w:pPr>
              <w:pStyle w:val="a1"/>
              <w:spacing w:after="0" w:line="240" w:lineRule="auto"/>
            </w:pPr>
            <w:r>
              <w:rPr>
                <w:rStyle w:val="a0"/>
                <w:b/>
                <w:bCs/>
                <w:color w:val="00ADEE"/>
                <w:lang w:val="ru"/>
              </w:rPr>
              <w:t>Описание</w:t>
            </w:r>
          </w:p>
        </w:tc>
      </w:tr>
      <w:tr w:rsidR="00F56C73" w:rsidRPr="00973DCF" w14:paraId="1AD3AFAF" w14:textId="77777777">
        <w:trPr>
          <w:trHeight w:hRule="exact" w:val="31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7FE5D" w14:textId="77777777" w:rsidR="00F56C73" w:rsidRDefault="000C5F08">
            <w:pPr>
              <w:pStyle w:val="a1"/>
              <w:spacing w:after="0" w:line="240" w:lineRule="auto"/>
            </w:pPr>
            <w:r>
              <w:rPr>
                <w:rStyle w:val="a0"/>
                <w:lang w:val="ru"/>
              </w:rPr>
              <w:t>Введение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5F34D" w14:textId="77777777" w:rsidR="00F56C73" w:rsidRPr="00973DCF" w:rsidRDefault="000C5F08">
            <w:pPr>
              <w:pStyle w:val="a1"/>
              <w:spacing w:after="0" w:line="240" w:lineRule="auto"/>
              <w:jc w:val="both"/>
              <w:rPr>
                <w:lang w:val="ru-RU"/>
              </w:rPr>
            </w:pPr>
            <w:r>
              <w:rPr>
                <w:rStyle w:val="a0"/>
                <w:lang w:val="ru"/>
              </w:rPr>
              <w:t>Краткий обзор цели и содержания Соглашения.</w:t>
            </w:r>
          </w:p>
        </w:tc>
      </w:tr>
      <w:tr w:rsidR="00F56C73" w:rsidRPr="00973DCF" w14:paraId="19926ED8" w14:textId="77777777">
        <w:trPr>
          <w:trHeight w:hRule="exact" w:val="123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</w:tcPr>
          <w:p w14:paraId="460796D4" w14:textId="77777777" w:rsidR="00F56C73" w:rsidRDefault="000C5F08">
            <w:pPr>
              <w:pStyle w:val="a1"/>
              <w:spacing w:after="0" w:line="240" w:lineRule="auto"/>
            </w:pPr>
            <w:r>
              <w:rPr>
                <w:rStyle w:val="a0"/>
                <w:lang w:val="ru"/>
              </w:rPr>
              <w:t>Членство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21D15" w14:textId="77777777" w:rsidR="00F56C73" w:rsidRPr="00973DCF" w:rsidRDefault="000C5F08" w:rsidP="000C5F08">
            <w:pPr>
              <w:pStyle w:val="a1"/>
              <w:spacing w:after="0" w:line="317" w:lineRule="auto"/>
              <w:jc w:val="both"/>
              <w:rPr>
                <w:lang w:val="ru-RU"/>
              </w:rPr>
            </w:pPr>
            <w:r>
              <w:rPr>
                <w:rStyle w:val="a0"/>
                <w:lang w:val="ru"/>
              </w:rPr>
              <w:t xml:space="preserve">Определение </w:t>
            </w:r>
            <w:r w:rsidR="000E157D">
              <w:rPr>
                <w:rStyle w:val="a0"/>
                <w:lang w:val="ru"/>
              </w:rPr>
              <w:t>Ведущей</w:t>
            </w:r>
            <w:r>
              <w:rPr>
                <w:rStyle w:val="a0"/>
                <w:lang w:val="ru"/>
              </w:rPr>
              <w:t xml:space="preserve"> организации консорциума и всех второстепенных организаций, включая подробное описание </w:t>
            </w:r>
            <w:r w:rsidR="000E157D">
              <w:rPr>
                <w:rStyle w:val="a0"/>
                <w:lang w:val="ru"/>
              </w:rPr>
              <w:t>функций</w:t>
            </w:r>
            <w:r>
              <w:rPr>
                <w:rStyle w:val="a0"/>
                <w:lang w:val="ru"/>
              </w:rPr>
              <w:t xml:space="preserve"> и обязанностей каждой организации, а также процедур корректировки состава участников консорциума.</w:t>
            </w:r>
          </w:p>
        </w:tc>
      </w:tr>
      <w:tr w:rsidR="00F56C73" w:rsidRPr="00973DCF" w14:paraId="039C809A" w14:textId="77777777">
        <w:trPr>
          <w:trHeight w:hRule="exact" w:val="90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</w:tcPr>
          <w:p w14:paraId="21B3217F" w14:textId="77777777" w:rsidR="00F56C73" w:rsidRDefault="000C5F08">
            <w:pPr>
              <w:pStyle w:val="a1"/>
              <w:spacing w:after="0" w:line="240" w:lineRule="auto"/>
            </w:pPr>
            <w:r>
              <w:rPr>
                <w:rStyle w:val="a0"/>
                <w:lang w:val="ru"/>
              </w:rPr>
              <w:t>Управление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8D47C" w14:textId="77777777" w:rsidR="00F56C73" w:rsidRPr="00973DCF" w:rsidRDefault="000C5F08" w:rsidP="000E157D">
            <w:pPr>
              <w:pStyle w:val="a1"/>
              <w:spacing w:after="0" w:line="298" w:lineRule="auto"/>
              <w:jc w:val="both"/>
              <w:rPr>
                <w:lang w:val="ru-RU"/>
              </w:rPr>
            </w:pPr>
            <w:r>
              <w:rPr>
                <w:rStyle w:val="a0"/>
                <w:lang w:val="ru"/>
              </w:rPr>
              <w:t xml:space="preserve">Разъяснение принципов управления консорциумом, включая системы и структуры управления и принятия решений, а также механизмы коммуникации и координации между </w:t>
            </w:r>
            <w:r w:rsidR="000E157D">
              <w:rPr>
                <w:rStyle w:val="a0"/>
                <w:lang w:val="ru"/>
              </w:rPr>
              <w:t>участниками</w:t>
            </w:r>
            <w:r>
              <w:rPr>
                <w:rStyle w:val="a0"/>
                <w:lang w:val="ru"/>
              </w:rPr>
              <w:t xml:space="preserve"> консорциума.</w:t>
            </w:r>
          </w:p>
        </w:tc>
      </w:tr>
      <w:tr w:rsidR="00F56C73" w:rsidRPr="00973DCF" w14:paraId="2F2FFAEC" w14:textId="77777777" w:rsidTr="000E157D">
        <w:trPr>
          <w:trHeight w:hRule="exact" w:val="189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</w:tcPr>
          <w:p w14:paraId="25FE489F" w14:textId="77777777" w:rsidR="00F56C73" w:rsidRDefault="000E157D">
            <w:pPr>
              <w:pStyle w:val="a1"/>
              <w:spacing w:after="0" w:line="259" w:lineRule="auto"/>
            </w:pPr>
            <w:r>
              <w:rPr>
                <w:rStyle w:val="a0"/>
                <w:lang w:val="ru"/>
              </w:rPr>
              <w:t>Реализация</w:t>
            </w:r>
            <w:r w:rsidR="000C5F08">
              <w:rPr>
                <w:rStyle w:val="a0"/>
                <w:lang w:val="ru"/>
              </w:rPr>
              <w:t xml:space="preserve"> и координация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4C9D7" w14:textId="77777777" w:rsidR="00F56C73" w:rsidRPr="00973DCF" w:rsidRDefault="000C5F08" w:rsidP="000E157D">
            <w:pPr>
              <w:pStyle w:val="a1"/>
              <w:spacing w:after="0" w:line="302" w:lineRule="auto"/>
              <w:jc w:val="both"/>
              <w:rPr>
                <w:lang w:val="ru-RU"/>
              </w:rPr>
            </w:pPr>
            <w:r>
              <w:rPr>
                <w:rStyle w:val="a0"/>
                <w:lang w:val="ru"/>
              </w:rPr>
              <w:t xml:space="preserve">Подробное описание </w:t>
            </w:r>
            <w:r w:rsidR="000E157D">
              <w:rPr>
                <w:rStyle w:val="a0"/>
                <w:lang w:val="ru"/>
              </w:rPr>
              <w:t>функций</w:t>
            </w:r>
            <w:r>
              <w:rPr>
                <w:rStyle w:val="a0"/>
                <w:lang w:val="ru"/>
              </w:rPr>
              <w:t xml:space="preserve"> и обязанностей </w:t>
            </w:r>
            <w:r w:rsidR="000E157D">
              <w:rPr>
                <w:rStyle w:val="a0"/>
                <w:lang w:val="ru"/>
              </w:rPr>
              <w:t>Ведущей</w:t>
            </w:r>
            <w:r>
              <w:rPr>
                <w:rStyle w:val="a0"/>
                <w:lang w:val="ru"/>
              </w:rPr>
              <w:t xml:space="preserve"> организации и </w:t>
            </w:r>
            <w:r w:rsidR="000E157D">
              <w:rPr>
                <w:rStyle w:val="a0"/>
                <w:lang w:val="ru"/>
              </w:rPr>
              <w:t xml:space="preserve">Второстепенных </w:t>
            </w:r>
            <w:r>
              <w:rPr>
                <w:rStyle w:val="a0"/>
                <w:lang w:val="ru"/>
              </w:rPr>
              <w:t xml:space="preserve">организаций в реализации и координации Программного документа, например, распределение мест реализации программы, разбивка целевых результатов по </w:t>
            </w:r>
            <w:r w:rsidR="000E157D">
              <w:rPr>
                <w:rStyle w:val="a0"/>
                <w:lang w:val="ru"/>
              </w:rPr>
              <w:t>участникам</w:t>
            </w:r>
            <w:r>
              <w:rPr>
                <w:rStyle w:val="a0"/>
                <w:lang w:val="ru"/>
              </w:rPr>
              <w:t xml:space="preserve"> консорциума, механизмы мониторинга и оценки, </w:t>
            </w:r>
            <w:r w:rsidR="000E157D">
              <w:rPr>
                <w:rStyle w:val="a0"/>
                <w:lang w:val="ru"/>
              </w:rPr>
              <w:t xml:space="preserve">описательные </w:t>
            </w:r>
            <w:r>
              <w:rPr>
                <w:rStyle w:val="a0"/>
                <w:lang w:val="ru"/>
              </w:rPr>
              <w:t xml:space="preserve">протоколы и </w:t>
            </w:r>
            <w:r w:rsidR="000E157D">
              <w:rPr>
                <w:rStyle w:val="a0"/>
                <w:lang w:val="ru"/>
              </w:rPr>
              <w:t xml:space="preserve">протоколы </w:t>
            </w:r>
            <w:r>
              <w:rPr>
                <w:rStyle w:val="a0"/>
                <w:lang w:val="ru"/>
              </w:rPr>
              <w:t>финансовой отчетности.</w:t>
            </w:r>
          </w:p>
        </w:tc>
      </w:tr>
      <w:tr w:rsidR="00F56C73" w:rsidRPr="00973DCF" w14:paraId="4403927E" w14:textId="77777777" w:rsidTr="000E157D">
        <w:trPr>
          <w:trHeight w:hRule="exact" w:val="326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</w:tcPr>
          <w:p w14:paraId="5EBA03F4" w14:textId="77777777" w:rsidR="00F56C73" w:rsidRDefault="000E157D">
            <w:pPr>
              <w:pStyle w:val="a1"/>
              <w:spacing w:after="0" w:line="262" w:lineRule="auto"/>
            </w:pPr>
            <w:r>
              <w:rPr>
                <w:rStyle w:val="a0"/>
                <w:lang w:val="ru"/>
              </w:rPr>
              <w:t>Управление финансовой деятельностью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687C7" w14:textId="350A05BA" w:rsidR="00F56C73" w:rsidRPr="00973DCF" w:rsidRDefault="000E157D" w:rsidP="000E157D">
            <w:pPr>
              <w:pStyle w:val="a1"/>
              <w:spacing w:after="0"/>
              <w:jc w:val="both"/>
              <w:rPr>
                <w:lang w:val="ru-RU"/>
              </w:rPr>
            </w:pPr>
            <w:r>
              <w:rPr>
                <w:rStyle w:val="a0"/>
                <w:lang w:val="ru"/>
              </w:rPr>
              <w:t>С</w:t>
            </w:r>
            <w:r w:rsidR="000C5F08">
              <w:rPr>
                <w:rStyle w:val="a0"/>
                <w:lang w:val="ru"/>
              </w:rPr>
              <w:t xml:space="preserve">ведения об общем бюджете Программного документа, подписанного ЮНИСЕФ и </w:t>
            </w:r>
            <w:r>
              <w:rPr>
                <w:rStyle w:val="a0"/>
                <w:lang w:val="ru"/>
              </w:rPr>
              <w:t>Ведущей</w:t>
            </w:r>
            <w:r w:rsidR="000C5F08">
              <w:rPr>
                <w:rStyle w:val="a0"/>
                <w:lang w:val="ru"/>
              </w:rPr>
              <w:t xml:space="preserve"> организацией, предлагаемом распределении средств ЮНИСЕФ и программных материалов между </w:t>
            </w:r>
            <w:r>
              <w:rPr>
                <w:rStyle w:val="a0"/>
                <w:lang w:val="ru"/>
              </w:rPr>
              <w:t>участниками</w:t>
            </w:r>
            <w:r w:rsidR="000C5F08">
              <w:rPr>
                <w:rStyle w:val="a0"/>
                <w:lang w:val="ru"/>
              </w:rPr>
              <w:t xml:space="preserve"> консорциума, а также о сроках/условиях последующего перевода средств и программных материалов </w:t>
            </w:r>
            <w:r>
              <w:rPr>
                <w:rStyle w:val="a0"/>
                <w:lang w:val="ru"/>
              </w:rPr>
              <w:t xml:space="preserve">ЮНИСЕФ </w:t>
            </w:r>
            <w:r w:rsidR="000C5F08">
              <w:rPr>
                <w:rStyle w:val="a0"/>
                <w:lang w:val="ru"/>
              </w:rPr>
              <w:t xml:space="preserve">Ведущей организацией. Этот раздел должен содержать </w:t>
            </w:r>
            <w:r>
              <w:rPr>
                <w:rStyle w:val="a0"/>
                <w:lang w:val="ru"/>
              </w:rPr>
              <w:t>сведения</w:t>
            </w:r>
            <w:r w:rsidR="000C5F08">
              <w:rPr>
                <w:rStyle w:val="a0"/>
                <w:lang w:val="ru"/>
              </w:rPr>
              <w:t xml:space="preserve"> о том, как </w:t>
            </w:r>
            <w:r>
              <w:rPr>
                <w:rStyle w:val="a0"/>
                <w:lang w:val="ru"/>
              </w:rPr>
              <w:t xml:space="preserve">Ведущая </w:t>
            </w:r>
            <w:r w:rsidR="000C5F08">
              <w:rPr>
                <w:rStyle w:val="a0"/>
                <w:lang w:val="ru"/>
              </w:rPr>
              <w:t xml:space="preserve">организация консорциума будет проводить финансовые проверки </w:t>
            </w:r>
            <w:r>
              <w:rPr>
                <w:rStyle w:val="a0"/>
                <w:lang w:val="ru"/>
              </w:rPr>
              <w:t xml:space="preserve">Второстепенных </w:t>
            </w:r>
            <w:r w:rsidR="000C5F08">
              <w:rPr>
                <w:rStyle w:val="a0"/>
                <w:lang w:val="ru"/>
              </w:rPr>
              <w:t xml:space="preserve">организаций. Этот раздел также должен содержать </w:t>
            </w:r>
            <w:r>
              <w:rPr>
                <w:rStyle w:val="a0"/>
                <w:lang w:val="ru"/>
              </w:rPr>
              <w:t>сведения</w:t>
            </w:r>
            <w:r w:rsidR="000C5F08">
              <w:rPr>
                <w:rStyle w:val="a0"/>
                <w:lang w:val="ru"/>
              </w:rPr>
              <w:t xml:space="preserve"> о</w:t>
            </w:r>
            <w:r>
              <w:rPr>
                <w:rStyle w:val="a0"/>
                <w:lang w:val="ru"/>
              </w:rPr>
              <w:t>б</w:t>
            </w:r>
            <w:r w:rsidR="000C5F08">
              <w:rPr>
                <w:rStyle w:val="a0"/>
                <w:lang w:val="ru"/>
              </w:rPr>
              <w:t xml:space="preserve"> участник</w:t>
            </w:r>
            <w:r>
              <w:rPr>
                <w:rStyle w:val="a0"/>
                <w:lang w:val="ru"/>
              </w:rPr>
              <w:t>ах, которые</w:t>
            </w:r>
            <w:r w:rsidR="000C5F08">
              <w:rPr>
                <w:rStyle w:val="a0"/>
                <w:lang w:val="ru"/>
              </w:rPr>
              <w:t xml:space="preserve"> могут участвовать в закупочной деятельности, в соответствии с результатами микроанализа или </w:t>
            </w:r>
            <w:hyperlink r:id="rId15" w:history="1">
              <w:r>
                <w:rPr>
                  <w:rStyle w:val="a0"/>
                  <w:color w:val="00ADEE"/>
                  <w:u w:val="single"/>
                  <w:lang w:val="ru"/>
                </w:rPr>
                <w:t>Оценки закупочной деятельности</w:t>
              </w:r>
            </w:hyperlink>
            <w:r w:rsidR="000C5F08">
              <w:rPr>
                <w:rStyle w:val="a0"/>
                <w:lang w:val="ru"/>
              </w:rPr>
              <w:t>.</w:t>
            </w:r>
          </w:p>
        </w:tc>
      </w:tr>
      <w:tr w:rsidR="00F56C73" w:rsidRPr="00973DCF" w14:paraId="4D932C1C" w14:textId="77777777" w:rsidTr="000E157D">
        <w:trPr>
          <w:trHeight w:hRule="exact" w:val="183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</w:tcPr>
          <w:p w14:paraId="5817C443" w14:textId="77777777" w:rsidR="00F56C73" w:rsidRPr="00973DCF" w:rsidRDefault="000C5F08">
            <w:pPr>
              <w:pStyle w:val="a1"/>
              <w:spacing w:after="0" w:line="262" w:lineRule="auto"/>
              <w:rPr>
                <w:lang w:val="ru-RU"/>
              </w:rPr>
            </w:pPr>
            <w:r>
              <w:rPr>
                <w:rStyle w:val="a0"/>
                <w:lang w:val="ru"/>
              </w:rPr>
              <w:t>Управление рисками, разрешение споров и роспуск консорциума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12C09" w14:textId="77777777" w:rsidR="00F56C73" w:rsidRPr="00973DCF" w:rsidRDefault="000C5F08" w:rsidP="000E157D">
            <w:pPr>
              <w:pStyle w:val="a1"/>
              <w:spacing w:after="0" w:line="310" w:lineRule="auto"/>
              <w:jc w:val="both"/>
              <w:rPr>
                <w:lang w:val="ru-RU"/>
              </w:rPr>
            </w:pPr>
            <w:r>
              <w:rPr>
                <w:rStyle w:val="a0"/>
                <w:lang w:val="ru"/>
              </w:rPr>
              <w:t xml:space="preserve">Процедуры управления рисками, доведения проблем до сведения ЮНИСЕФ и разрешения споров между </w:t>
            </w:r>
            <w:r w:rsidR="000E157D">
              <w:rPr>
                <w:rStyle w:val="a0"/>
                <w:lang w:val="ru"/>
              </w:rPr>
              <w:t>участниками</w:t>
            </w:r>
            <w:r>
              <w:rPr>
                <w:rStyle w:val="a0"/>
                <w:lang w:val="ru"/>
              </w:rPr>
              <w:t xml:space="preserve"> консорциума справедливым, прозрачным и </w:t>
            </w:r>
            <w:r w:rsidR="000E157D">
              <w:rPr>
                <w:rStyle w:val="a0"/>
                <w:lang w:val="ru"/>
              </w:rPr>
              <w:t>ответственным</w:t>
            </w:r>
            <w:r>
              <w:rPr>
                <w:rStyle w:val="a0"/>
                <w:lang w:val="ru"/>
              </w:rPr>
              <w:t xml:space="preserve"> образом. Этот раздел должен содержать </w:t>
            </w:r>
            <w:r w:rsidR="000E157D">
              <w:rPr>
                <w:rStyle w:val="a0"/>
                <w:lang w:val="ru"/>
              </w:rPr>
              <w:t>сведения</w:t>
            </w:r>
            <w:r>
              <w:rPr>
                <w:rStyle w:val="a0"/>
                <w:lang w:val="ru"/>
              </w:rPr>
              <w:t xml:space="preserve"> о порядке </w:t>
            </w:r>
            <w:r w:rsidR="000E157D">
              <w:rPr>
                <w:rStyle w:val="a0"/>
                <w:lang w:val="ru"/>
              </w:rPr>
              <w:t>роспуска консорциума</w:t>
            </w:r>
            <w:r>
              <w:rPr>
                <w:rStyle w:val="a0"/>
                <w:lang w:val="ru"/>
              </w:rPr>
              <w:t>, будь то в связи с заключением/прекращением действия Программного документа или другими факторами.</w:t>
            </w:r>
          </w:p>
        </w:tc>
      </w:tr>
      <w:tr w:rsidR="00F56C73" w14:paraId="35D061CC" w14:textId="77777777" w:rsidTr="000E157D">
        <w:trPr>
          <w:trHeight w:hRule="exact" w:val="85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01C05" w14:textId="77777777" w:rsidR="00F56C73" w:rsidRDefault="000C5F08">
            <w:pPr>
              <w:pStyle w:val="a1"/>
              <w:spacing w:after="0" w:line="240" w:lineRule="auto"/>
            </w:pPr>
            <w:r>
              <w:rPr>
                <w:rStyle w:val="a0"/>
                <w:lang w:val="ru"/>
              </w:rPr>
              <w:t>Другое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A3B" w14:textId="5F5798ED" w:rsidR="00F56C73" w:rsidRPr="00973DCF" w:rsidRDefault="000C5F08">
            <w:pPr>
              <w:pStyle w:val="a1"/>
              <w:tabs>
                <w:tab w:val="left" w:pos="4670"/>
              </w:tabs>
              <w:spacing w:after="40" w:line="240" w:lineRule="auto"/>
              <w:rPr>
                <w:lang w:val="ru-RU"/>
              </w:rPr>
            </w:pPr>
            <w:r>
              <w:rPr>
                <w:rStyle w:val="a0"/>
                <w:lang w:val="ru"/>
              </w:rPr>
              <w:t>Другие важные</w:t>
            </w:r>
            <w:r w:rsidR="000E157D">
              <w:rPr>
                <w:rStyle w:val="a0"/>
                <w:lang w:val="ru"/>
              </w:rPr>
              <w:t xml:space="preserve"> соображения, такие как </w:t>
            </w:r>
            <w:r>
              <w:rPr>
                <w:rStyle w:val="a0"/>
                <w:lang w:val="ru"/>
              </w:rPr>
              <w:t>защита</w:t>
            </w:r>
            <w:r w:rsidR="000E157D">
              <w:rPr>
                <w:rStyle w:val="a0"/>
                <w:lang w:val="ru"/>
              </w:rPr>
              <w:t xml:space="preserve"> детей</w:t>
            </w:r>
            <w:r>
              <w:rPr>
                <w:rStyle w:val="a0"/>
                <w:lang w:val="ru"/>
              </w:rPr>
              <w:t xml:space="preserve">, </w:t>
            </w:r>
            <w:r w:rsidR="001A3A54">
              <w:rPr>
                <w:rStyle w:val="a0"/>
                <w:lang w:val="ru"/>
              </w:rPr>
              <w:t>ЗСЭН</w:t>
            </w:r>
            <w:r>
              <w:rPr>
                <w:rStyle w:val="a0"/>
                <w:lang w:val="ru"/>
              </w:rPr>
              <w:t>,</w:t>
            </w:r>
          </w:p>
          <w:p w14:paraId="77027F09" w14:textId="77777777" w:rsidR="00F56C73" w:rsidRDefault="000C5F08">
            <w:pPr>
              <w:pStyle w:val="a1"/>
              <w:spacing w:after="0" w:line="240" w:lineRule="auto"/>
              <w:jc w:val="both"/>
            </w:pPr>
            <w:r>
              <w:rPr>
                <w:rStyle w:val="a0"/>
                <w:lang w:val="ru"/>
              </w:rPr>
              <w:t>конфиденциальность и управление рисками.</w:t>
            </w:r>
          </w:p>
        </w:tc>
      </w:tr>
    </w:tbl>
    <w:p w14:paraId="1644ADBF" w14:textId="77777777" w:rsidR="00F56C73" w:rsidRDefault="00F56C73">
      <w:pPr>
        <w:spacing w:after="519" w:line="1" w:lineRule="exact"/>
      </w:pPr>
    </w:p>
    <w:p w14:paraId="1CE19812" w14:textId="0B9DADA1" w:rsidR="001A3A54" w:rsidRPr="00973DCF" w:rsidRDefault="001A3A54">
      <w:pPr>
        <w:pStyle w:val="22"/>
        <w:keepNext/>
        <w:keepLines/>
        <w:spacing w:after="0"/>
        <w:jc w:val="both"/>
        <w:rPr>
          <w:lang w:val="ru-RU"/>
        </w:rPr>
      </w:pPr>
      <w:r>
        <w:rPr>
          <w:rStyle w:val="21"/>
          <w:b/>
          <w:bCs/>
          <w:lang w:val="ru"/>
        </w:rPr>
        <w:t>Мониторинг, обеспечение качества и наращивание потенциала консорциумов</w:t>
      </w:r>
    </w:p>
    <w:p w14:paraId="606013AB" w14:textId="3B1A9E5B" w:rsidR="00F56C73" w:rsidRPr="00973DCF" w:rsidRDefault="000C5F08">
      <w:pPr>
        <w:pStyle w:val="11"/>
        <w:jc w:val="both"/>
        <w:rPr>
          <w:lang w:val="ru-RU"/>
        </w:rPr>
      </w:pPr>
      <w:r>
        <w:rPr>
          <w:rStyle w:val="a"/>
          <w:lang w:val="ru"/>
        </w:rPr>
        <w:t>В соответствии с соглашением о консорциуме, Ведущая организация консорциума осуществляет мониторинг и проверку деятельности Второстепенных организаций. Ведущая организация может дополнить обязательные мероприятия по мониторингу и проверке дополнительными инициативами, такими как обучение, наставничество и наращивание потенциала. Расходы, связанные с наращиванием потенциала внутри консорциума, рассматриваются ЮНИСЕФ как приемлемые расходы по программе и могут быть включены в качестве отдельного результата Программного документа.</w:t>
      </w:r>
    </w:p>
    <w:p w14:paraId="60DF6D52" w14:textId="77777777" w:rsidR="00F56C73" w:rsidRPr="00973DCF" w:rsidRDefault="000C5F08">
      <w:pPr>
        <w:pStyle w:val="11"/>
        <w:jc w:val="both"/>
        <w:rPr>
          <w:lang w:val="ru-RU"/>
        </w:rPr>
      </w:pPr>
      <w:r>
        <w:rPr>
          <w:rStyle w:val="a"/>
          <w:lang w:val="ru"/>
        </w:rPr>
        <w:t xml:space="preserve">ЮНИСЕФ и ее доноры могут также проводить дополнительные мероприятия по мониторингу, проверке и </w:t>
      </w:r>
      <w:r>
        <w:rPr>
          <w:rStyle w:val="a"/>
          <w:lang w:val="ru"/>
        </w:rPr>
        <w:lastRenderedPageBreak/>
        <w:t>наращиванию потенциала Второстепенных организаций.</w:t>
      </w:r>
    </w:p>
    <w:sectPr w:rsidR="00F56C73" w:rsidRPr="00973DCF">
      <w:pgSz w:w="12240" w:h="15840"/>
      <w:pgMar w:top="994" w:right="906" w:bottom="1072" w:left="938" w:header="566" w:footer="64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79D9"/>
    <w:multiLevelType w:val="multilevel"/>
    <w:tmpl w:val="000000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kk-KZ" w:eastAsia="kk-KZ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729F32DB"/>
    <w:multiLevelType w:val="multilevel"/>
    <w:tmpl w:val="0000000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743837083">
    <w:abstractNumId w:val="0"/>
  </w:num>
  <w:num w:numId="2" w16cid:durableId="42365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C73"/>
    <w:rsid w:val="000C20E2"/>
    <w:rsid w:val="000C5F08"/>
    <w:rsid w:val="000E157D"/>
    <w:rsid w:val="001A3A54"/>
    <w:rsid w:val="001D004C"/>
    <w:rsid w:val="002C304B"/>
    <w:rsid w:val="002E2120"/>
    <w:rsid w:val="00413958"/>
    <w:rsid w:val="00541801"/>
    <w:rsid w:val="005D0AAA"/>
    <w:rsid w:val="006F2410"/>
    <w:rsid w:val="008C7399"/>
    <w:rsid w:val="00925104"/>
    <w:rsid w:val="00973DCF"/>
    <w:rsid w:val="00A17FC6"/>
    <w:rsid w:val="00C04496"/>
    <w:rsid w:val="00C6345B"/>
    <w:rsid w:val="00E6357A"/>
    <w:rsid w:val="00E97EAF"/>
    <w:rsid w:val="00F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DA28"/>
  <w15:docId w15:val="{39D2A816-F668-824A-A9CF-D5AE12F9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Pr>
      <w:rFonts w:ascii="Arial" w:eastAsia="Arial" w:hAnsi="Arial" w:cs="Arial"/>
      <w:bCs w:val="0"/>
      <w:color w:val="00ADEE"/>
      <w:u w:val="none"/>
    </w:rPr>
  </w:style>
  <w:style w:type="character" w:customStyle="1" w:styleId="1">
    <w:name w:val="Заголовок №1_"/>
    <w:basedOn w:val="DefaultParagraphFont"/>
    <w:link w:val="10"/>
    <w:rPr>
      <w:rFonts w:ascii="Arial" w:eastAsia="Arial" w:hAnsi="Arial" w:cs="Arial"/>
      <w:b/>
      <w:bCs/>
      <w:color w:val="00AFEF"/>
      <w:sz w:val="46"/>
      <w:szCs w:val="46"/>
      <w:u w:val="none"/>
    </w:rPr>
  </w:style>
  <w:style w:type="character" w:customStyle="1" w:styleId="21">
    <w:name w:val="Заголовок №2_"/>
    <w:basedOn w:val="DefaultParagraphFont"/>
    <w:link w:val="22"/>
    <w:rPr>
      <w:rFonts w:ascii="Arial" w:eastAsia="Arial" w:hAnsi="Arial" w:cs="Arial"/>
      <w:b/>
      <w:bCs/>
      <w:color w:val="00ADEE"/>
      <w:u w:val="none"/>
    </w:rPr>
  </w:style>
  <w:style w:type="character" w:customStyle="1" w:styleId="a">
    <w:name w:val="Основной текст_"/>
    <w:basedOn w:val="DefaultParagraphFont"/>
    <w:link w:val="11"/>
    <w:rPr>
      <w:rFonts w:ascii="Arial" w:eastAsia="Arial" w:hAnsi="Arial" w:cs="Arial"/>
      <w:bCs w:val="0"/>
      <w:sz w:val="20"/>
      <w:szCs w:val="20"/>
      <w:u w:val="none"/>
    </w:rPr>
  </w:style>
  <w:style w:type="character" w:customStyle="1" w:styleId="a0">
    <w:name w:val="Другое_"/>
    <w:basedOn w:val="DefaultParagraphFont"/>
    <w:link w:val="a1"/>
    <w:rPr>
      <w:rFonts w:ascii="Arial" w:eastAsia="Arial" w:hAnsi="Arial" w:cs="Arial"/>
      <w:bCs w:val="0"/>
      <w:sz w:val="20"/>
      <w:szCs w:val="20"/>
      <w:u w:val="none"/>
    </w:rPr>
  </w:style>
  <w:style w:type="paragraph" w:customStyle="1" w:styleId="20">
    <w:name w:val="Основной текст (2)"/>
    <w:basedOn w:val="Normal"/>
    <w:link w:val="2"/>
    <w:pPr>
      <w:spacing w:before="760" w:after="370" w:line="276" w:lineRule="auto"/>
      <w:jc w:val="center"/>
    </w:pPr>
    <w:rPr>
      <w:rFonts w:ascii="Arial" w:eastAsia="Arial" w:hAnsi="Arial" w:cs="Arial"/>
      <w:color w:val="00ADEE"/>
    </w:rPr>
  </w:style>
  <w:style w:type="paragraph" w:customStyle="1" w:styleId="10">
    <w:name w:val="Заголовок №1"/>
    <w:basedOn w:val="Normal"/>
    <w:link w:val="1"/>
    <w:pPr>
      <w:spacing w:after="40"/>
      <w:outlineLvl w:val="0"/>
    </w:pPr>
    <w:rPr>
      <w:rFonts w:ascii="Arial" w:eastAsia="Arial" w:hAnsi="Arial" w:cs="Arial"/>
      <w:b/>
      <w:bCs/>
      <w:color w:val="00AFEF"/>
      <w:sz w:val="46"/>
      <w:szCs w:val="46"/>
    </w:rPr>
  </w:style>
  <w:style w:type="paragraph" w:customStyle="1" w:styleId="22">
    <w:name w:val="Заголовок №2"/>
    <w:basedOn w:val="Normal"/>
    <w:link w:val="21"/>
    <w:pPr>
      <w:spacing w:after="20"/>
      <w:outlineLvl w:val="1"/>
    </w:pPr>
    <w:rPr>
      <w:rFonts w:ascii="Arial" w:eastAsia="Arial" w:hAnsi="Arial" w:cs="Arial"/>
      <w:b/>
      <w:bCs/>
      <w:color w:val="00ADEE"/>
    </w:rPr>
  </w:style>
  <w:style w:type="paragraph" w:customStyle="1" w:styleId="11">
    <w:name w:val="Основной текст1"/>
    <w:basedOn w:val="Normal"/>
    <w:link w:val="a"/>
    <w:pPr>
      <w:spacing w:after="24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a1">
    <w:name w:val="Другое"/>
    <w:basedOn w:val="Normal"/>
    <w:link w:val="a0"/>
    <w:pPr>
      <w:spacing w:after="240" w:line="307" w:lineRule="auto"/>
    </w:pPr>
    <w:rPr>
      <w:rFonts w:ascii="Arial" w:eastAsia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unpartnerportal.org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unpartnerportalhelpcenter.zendesk.com/hc/en-us/articles/9340228460951-PCA-Templa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https://unpartnerportalhelpcenter.zendesk.com/hc/en-us/articles/9377007486487-Procurement-Assessment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npartnerport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TaxKeywordTaxHTField xmlns="4c818a4e-d36c-4b12-99a3-218ec08871e7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lcf76f155ced4ddcb4097134ff3c332f xmlns="af59f805-c07d-4102-87c0-bb8532462f42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500AED9-6DFB-486F-AD83-F37E03B3D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4c818a4e-d36c-4b12-99a3-218ec08871e7"/>
    <ds:schemaRef ds:uri="af59f805-c07d-4102-87c0-bb8532462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555A1-D64B-4C0E-89CB-72F0AB205EED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.v3"/>
    <ds:schemaRef ds:uri="af59f805-c07d-4102-87c0-bb8532462f42"/>
    <ds:schemaRef ds:uri="ca283e0b-db31-4043-a2ef-b80661bf084a"/>
    <ds:schemaRef ds:uri="http://purl.org/dc/dcmitype/"/>
    <ds:schemaRef ds:uri="http://www.w3.org/XML/1998/namespace"/>
    <ds:schemaRef ds:uri="4c818a4e-d36c-4b12-99a3-218ec08871e7"/>
    <ds:schemaRef ds:uri="http://schemas.microsoft.com/sharepoint/v4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6568D1-B34C-49E2-AFA9-BF06E2487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F9A5E-6E96-4C9B-AB5B-7D41D8374AE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8E3C04C-8CBF-4A93-B193-8775FBA3810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FE4217F-42D8-478B-88E1-DA36EB51881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2242</Words>
  <Characters>12783</Characters>
  <Application>Microsoft Office Word</Application>
  <DocSecurity>4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Avrile Pacifique Niyibizi</cp:lastModifiedBy>
  <cp:revision>2</cp:revision>
  <dcterms:created xsi:type="dcterms:W3CDTF">2025-09-23T13:10:00Z</dcterms:created>
  <dcterms:modified xsi:type="dcterms:W3CDTF">2025-09-23T13:10:00Z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3;#ECARO, Switzerland-575R|6b4bba13-cb31-456e-af26-cb438fd58435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