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986DE" w14:textId="77777777" w:rsidR="00400874" w:rsidRDefault="00F7007C">
      <w:pPr>
        <w:jc w:val="center"/>
        <w:rPr>
          <w:b/>
          <w:sz w:val="28"/>
        </w:rPr>
      </w:pPr>
      <w:r>
        <w:rPr>
          <w:b/>
          <w:sz w:val="28"/>
        </w:rPr>
        <w:t>Procesamiento y P</w:t>
      </w:r>
      <w:r w:rsidR="00223E3F">
        <w:rPr>
          <w:b/>
          <w:sz w:val="28"/>
        </w:rPr>
        <w:t xml:space="preserve">rotección de </w:t>
      </w:r>
      <w:r>
        <w:rPr>
          <w:b/>
          <w:sz w:val="28"/>
        </w:rPr>
        <w:t>Datos Personales de P</w:t>
      </w:r>
      <w:r w:rsidR="00223E3F">
        <w:rPr>
          <w:b/>
          <w:sz w:val="28"/>
        </w:rPr>
        <w:t xml:space="preserve">ersonas de </w:t>
      </w:r>
      <w:r>
        <w:rPr>
          <w:b/>
          <w:sz w:val="28"/>
        </w:rPr>
        <w:t>I</w:t>
      </w:r>
      <w:r w:rsidR="00223E3F">
        <w:rPr>
          <w:b/>
          <w:sz w:val="28"/>
        </w:rPr>
        <w:t>nterés</w:t>
      </w:r>
    </w:p>
    <w:p w14:paraId="4E27CD9C" w14:textId="77777777" w:rsidR="00400874" w:rsidRDefault="00223E3F">
      <w:pPr>
        <w:jc w:val="both"/>
        <w:rPr>
          <w:i/>
        </w:rPr>
      </w:pPr>
      <w:r>
        <w:rPr>
          <w:i/>
        </w:rPr>
        <w:t xml:space="preserve">Se completará cuando, de conformidad con el Artículo </w:t>
      </w:r>
      <w:r w:rsidR="00EA032B">
        <w:rPr>
          <w:i/>
        </w:rPr>
        <w:t xml:space="preserve">19.2 </w:t>
      </w:r>
      <w:r>
        <w:rPr>
          <w:i/>
        </w:rPr>
        <w:t xml:space="preserve">del </w:t>
      </w:r>
      <w:r w:rsidR="00EA032B">
        <w:rPr>
          <w:i/>
        </w:rPr>
        <w:t>Condiciones Generales del Contrato</w:t>
      </w:r>
      <w:r>
        <w:rPr>
          <w:i/>
        </w:rPr>
        <w:t xml:space="preserve">, el procesamiento de datos personales de Personas de interés (PoC) </w:t>
      </w:r>
      <w:r w:rsidR="00F428D1">
        <w:rPr>
          <w:i/>
        </w:rPr>
        <w:t xml:space="preserve">para el </w:t>
      </w:r>
      <w:r>
        <w:rPr>
          <w:i/>
        </w:rPr>
        <w:t xml:space="preserve">ACNUR sea parte de las responsabilidades del </w:t>
      </w:r>
      <w:r w:rsidR="00D61086">
        <w:rPr>
          <w:i/>
        </w:rPr>
        <w:t xml:space="preserve">Socio </w:t>
      </w:r>
      <w:r>
        <w:rPr>
          <w:i/>
        </w:rPr>
        <w:t xml:space="preserve">y un requisito para la </w:t>
      </w:r>
      <w:r w:rsidR="003A5F7A">
        <w:rPr>
          <w:i/>
        </w:rPr>
        <w:t>ejecución</w:t>
      </w:r>
      <w:r>
        <w:rPr>
          <w:i/>
        </w:rPr>
        <w:t xml:space="preserve"> del proyecto (ver Declaración del proyecto, párr. 1.1 en la Descripción del Proyecto, Anexo A).</w:t>
      </w:r>
    </w:p>
    <w:p w14:paraId="6807C724" w14:textId="77777777" w:rsidR="00400874" w:rsidRDefault="00223E3F">
      <w:pPr>
        <w:pStyle w:val="ListParagraph"/>
        <w:numPr>
          <w:ilvl w:val="0"/>
          <w:numId w:val="1"/>
        </w:numPr>
        <w:spacing w:after="0"/>
        <w:ind w:left="294" w:hanging="294"/>
        <w:rPr>
          <w:b/>
        </w:rPr>
      </w:pPr>
      <w:r>
        <w:rPr>
          <w:b/>
        </w:rPr>
        <w:t xml:space="preserve">Naturaleza y propósito del </w:t>
      </w:r>
      <w:r w:rsidR="00F428D1">
        <w:rPr>
          <w:b/>
        </w:rPr>
        <w:t>procesamiento</w:t>
      </w:r>
    </w:p>
    <w:p w14:paraId="0D6F9862" w14:textId="77777777" w:rsidR="00400874" w:rsidRDefault="00223E3F">
      <w:pPr>
        <w:spacing w:after="0"/>
        <w:ind w:firstLine="284"/>
        <w:jc w:val="both"/>
        <w:rPr>
          <w:rFonts w:ascii="Calibri" w:hAnsi="Calibri"/>
          <w:iCs/>
          <w:color w:val="FF0000"/>
          <w:sz w:val="20"/>
        </w:rPr>
      </w:pPr>
      <w:r>
        <w:rPr>
          <w:rFonts w:ascii="Calibri" w:hAnsi="Calibri"/>
          <w:iCs/>
          <w:color w:val="FF0000"/>
          <w:sz w:val="20"/>
        </w:rPr>
        <w:t>&lt;</w:t>
      </w:r>
      <w:r w:rsidR="00A76D6D">
        <w:rPr>
          <w:rFonts w:ascii="Calibri" w:hAnsi="Calibri"/>
          <w:i/>
          <w:iCs/>
          <w:color w:val="FF0000"/>
          <w:sz w:val="20"/>
        </w:rPr>
        <w:t xml:space="preserve">Esta sección es obligatoria. </w:t>
      </w:r>
      <w:r>
        <w:rPr>
          <w:rFonts w:ascii="Calibri" w:hAnsi="Calibri"/>
          <w:i/>
          <w:iCs/>
          <w:color w:val="FF0000"/>
          <w:sz w:val="20"/>
        </w:rPr>
        <w:t xml:space="preserve"> Para desarrollarse conjuntamente por ACNUR con un </w:t>
      </w:r>
      <w:r w:rsidR="00096E9F">
        <w:rPr>
          <w:rFonts w:ascii="Calibri" w:hAnsi="Calibri"/>
          <w:i/>
          <w:iCs/>
          <w:color w:val="FF0000"/>
          <w:sz w:val="20"/>
        </w:rPr>
        <w:t>socio</w:t>
      </w:r>
      <w:r>
        <w:rPr>
          <w:rFonts w:ascii="Calibri" w:hAnsi="Calibri"/>
          <w:i/>
          <w:iCs/>
          <w:color w:val="FF0000"/>
          <w:sz w:val="20"/>
        </w:rPr>
        <w:t xml:space="preserve">.&gt; </w:t>
      </w:r>
    </w:p>
    <w:p w14:paraId="0D359516" w14:textId="77777777" w:rsidR="00400874" w:rsidRPr="00615194" w:rsidRDefault="00223E3F" w:rsidP="00615194">
      <w:pPr>
        <w:pStyle w:val="ListParagraph"/>
        <w:ind w:left="294"/>
        <w:jc w:val="both"/>
        <w:rPr>
          <w:i/>
          <w:color w:val="A6A6A6" w:themeColor="background1" w:themeShade="A6"/>
          <w:lang w:val="en-US"/>
        </w:rPr>
      </w:pPr>
      <w:r w:rsidRPr="00615194">
        <w:rPr>
          <w:i/>
          <w:color w:val="A6A6A6" w:themeColor="background1" w:themeShade="A6"/>
          <w:lang w:val="en-US"/>
        </w:rPr>
        <w:t xml:space="preserve">Describa los propósitos específicos y legítimos del procesamiento de datos personales. Los propósitos se derivan del objetivo general del proyecto, pero deben ser más específicos para permitir una determinación lógica de los elementos de datos personales necesarios </w:t>
      </w:r>
      <w:r w:rsidR="00A76D6D" w:rsidRPr="00615194">
        <w:rPr>
          <w:i/>
          <w:color w:val="A6A6A6" w:themeColor="background1" w:themeShade="A6"/>
          <w:lang w:val="en-US"/>
        </w:rPr>
        <w:t>a</w:t>
      </w:r>
      <w:r w:rsidRPr="00615194">
        <w:rPr>
          <w:i/>
          <w:color w:val="A6A6A6" w:themeColor="background1" w:themeShade="A6"/>
          <w:lang w:val="en-US"/>
        </w:rPr>
        <w:t xml:space="preserve"> ser procesados. Algunos ejemplos son: evaluaciones de vulnerabilidad, entrega o provisión de asistencia o servicios particulares o monitoreo de protección de PoC. En caso de que surja un nuevo propósito en </w:t>
      </w:r>
      <w:r w:rsidR="00A76D6D" w:rsidRPr="00615194">
        <w:rPr>
          <w:i/>
          <w:color w:val="A6A6A6" w:themeColor="background1" w:themeShade="A6"/>
          <w:lang w:val="en-US"/>
        </w:rPr>
        <w:t xml:space="preserve">el curso del proyecto, esto debe acordarse </w:t>
      </w:r>
      <w:r w:rsidRPr="00615194">
        <w:rPr>
          <w:i/>
          <w:color w:val="A6A6A6" w:themeColor="background1" w:themeShade="A6"/>
          <w:lang w:val="en-US"/>
        </w:rPr>
        <w:t xml:space="preserve">expresamente por escrito entre el </w:t>
      </w:r>
      <w:r w:rsidR="00D61086" w:rsidRPr="00615194">
        <w:rPr>
          <w:i/>
          <w:color w:val="A6A6A6" w:themeColor="background1" w:themeShade="A6"/>
          <w:lang w:val="en-US"/>
        </w:rPr>
        <w:t xml:space="preserve">Socio </w:t>
      </w:r>
      <w:r w:rsidRPr="00615194">
        <w:rPr>
          <w:i/>
          <w:color w:val="A6A6A6" w:themeColor="background1" w:themeShade="A6"/>
          <w:lang w:val="en-US"/>
        </w:rPr>
        <w:t xml:space="preserve">y el ACNUR, y reflejarse en este Anexo. Por favor incluya correspondencia relevante en el Archivo de Proyecto. </w:t>
      </w:r>
    </w:p>
    <w:p w14:paraId="5BA52A48" w14:textId="77777777" w:rsidR="00400874" w:rsidRDefault="00223E3F">
      <w:pPr>
        <w:pStyle w:val="ListParagraph"/>
        <w:ind w:left="294"/>
        <w:rPr>
          <w:i/>
          <w:color w:val="0070C0"/>
        </w:rPr>
      </w:pPr>
      <w:r>
        <w:rPr>
          <w:i/>
          <w:color w:val="0070C0"/>
        </w:rPr>
        <w:t>Referencias: Para. 2.3 y 5.3 de la Política de Protecció</w:t>
      </w:r>
      <w:r w:rsidR="00A76D6D">
        <w:rPr>
          <w:i/>
          <w:color w:val="0070C0"/>
        </w:rPr>
        <w:t>n de Datos del ACNUR (DPP); párrafo</w:t>
      </w:r>
      <w:r>
        <w:rPr>
          <w:i/>
          <w:color w:val="0070C0"/>
        </w:rPr>
        <w:t xml:space="preserve">. 4.1 y 10.1.2 de la Guía de protección de datos (DPG) del ACNUR y el Artículo </w:t>
      </w:r>
      <w:proofErr w:type="spellStart"/>
      <w:r w:rsidR="00EA032B" w:rsidRPr="00EA032B">
        <w:rPr>
          <w:i/>
          <w:color w:val="0070C0"/>
        </w:rPr>
        <w:t>Artículo</w:t>
      </w:r>
      <w:proofErr w:type="spellEnd"/>
      <w:r w:rsidR="00EA032B" w:rsidRPr="00EA032B">
        <w:rPr>
          <w:i/>
          <w:color w:val="0070C0"/>
        </w:rPr>
        <w:t xml:space="preserve"> 19.2 del Condiciones Generales del Contrato</w:t>
      </w:r>
      <w:r>
        <w:rPr>
          <w:i/>
          <w:color w:val="0070C0"/>
        </w:rPr>
        <w:t>.</w:t>
      </w:r>
    </w:p>
    <w:p w14:paraId="168B4942" w14:textId="77777777" w:rsidR="00400874" w:rsidRPr="00832BB1" w:rsidRDefault="00400874">
      <w:pPr>
        <w:pStyle w:val="ListParagraph"/>
        <w:ind w:left="294"/>
      </w:pPr>
    </w:p>
    <w:p w14:paraId="788636C0" w14:textId="77777777" w:rsidR="00400874" w:rsidRDefault="00223E3F">
      <w:pPr>
        <w:pStyle w:val="ListParagraph"/>
        <w:numPr>
          <w:ilvl w:val="0"/>
          <w:numId w:val="1"/>
        </w:numPr>
        <w:spacing w:after="0"/>
        <w:ind w:left="294"/>
        <w:rPr>
          <w:b/>
        </w:rPr>
      </w:pPr>
      <w:r>
        <w:rPr>
          <w:b/>
        </w:rPr>
        <w:t>Elementos de datos personales necesarios para ser procesados.</w:t>
      </w:r>
    </w:p>
    <w:p w14:paraId="4FEF526B" w14:textId="77777777" w:rsidR="00400874" w:rsidRDefault="00223E3F">
      <w:pPr>
        <w:spacing w:after="0"/>
        <w:ind w:firstLine="284"/>
        <w:jc w:val="both"/>
        <w:rPr>
          <w:rFonts w:ascii="Calibri" w:hAnsi="Calibri"/>
          <w:iCs/>
          <w:color w:val="FF0000"/>
          <w:sz w:val="20"/>
        </w:rPr>
      </w:pPr>
      <w:r>
        <w:rPr>
          <w:rFonts w:ascii="Calibri" w:hAnsi="Calibri"/>
          <w:iCs/>
          <w:color w:val="FF0000"/>
          <w:sz w:val="20"/>
        </w:rPr>
        <w:t>&lt;</w:t>
      </w:r>
      <w:r w:rsidR="000C756C">
        <w:rPr>
          <w:rFonts w:ascii="Calibri" w:hAnsi="Calibri"/>
          <w:i/>
          <w:iCs/>
          <w:color w:val="FF0000"/>
          <w:sz w:val="20"/>
        </w:rPr>
        <w:t>Esta sección es obligatoria.</w:t>
      </w:r>
      <w:r>
        <w:rPr>
          <w:rFonts w:ascii="Calibri" w:hAnsi="Calibri"/>
          <w:i/>
          <w:iCs/>
          <w:color w:val="FF0000"/>
          <w:sz w:val="20"/>
        </w:rPr>
        <w:t xml:space="preserve"> Para desarrollarse conjuntamente por ACNUR con un </w:t>
      </w:r>
      <w:r w:rsidR="00096E9F">
        <w:rPr>
          <w:rFonts w:ascii="Calibri" w:hAnsi="Calibri"/>
          <w:i/>
          <w:iCs/>
          <w:color w:val="FF0000"/>
          <w:sz w:val="20"/>
        </w:rPr>
        <w:t>socio</w:t>
      </w:r>
      <w:r>
        <w:rPr>
          <w:rFonts w:ascii="Calibri" w:hAnsi="Calibri"/>
          <w:i/>
          <w:iCs/>
          <w:color w:val="FF0000"/>
          <w:sz w:val="20"/>
        </w:rPr>
        <w:t>.&gt;</w:t>
      </w:r>
    </w:p>
    <w:p w14:paraId="2B39B7A7" w14:textId="77777777" w:rsidR="00400874" w:rsidRPr="00615194" w:rsidRDefault="00223E3F" w:rsidP="00615194">
      <w:pPr>
        <w:pStyle w:val="ListParagraph"/>
        <w:ind w:left="294"/>
        <w:jc w:val="both"/>
        <w:rPr>
          <w:i/>
          <w:color w:val="A6A6A6" w:themeColor="background1" w:themeShade="A6"/>
          <w:lang w:val="en-US"/>
        </w:rPr>
      </w:pPr>
      <w:r w:rsidRPr="00615194">
        <w:rPr>
          <w:i/>
          <w:color w:val="A6A6A6" w:themeColor="background1" w:themeShade="A6"/>
          <w:lang w:val="en-US"/>
        </w:rPr>
        <w:t xml:space="preserve">Enumere todos los elementos de datos personales que el </w:t>
      </w:r>
      <w:r w:rsidR="00D61086" w:rsidRPr="00615194">
        <w:rPr>
          <w:i/>
          <w:color w:val="A6A6A6" w:themeColor="background1" w:themeShade="A6"/>
          <w:lang w:val="en-US"/>
        </w:rPr>
        <w:t xml:space="preserve">Socio </w:t>
      </w:r>
      <w:r w:rsidRPr="00615194">
        <w:rPr>
          <w:i/>
          <w:color w:val="A6A6A6" w:themeColor="background1" w:themeShade="A6"/>
          <w:lang w:val="en-US"/>
        </w:rPr>
        <w:t xml:space="preserve">deberá procesar para cada uno de los fines específicos mencionados anteriormente (por ejemplo, nombres, direcciones, números de teléfono). También se puede hacer referencia a las plantillas o cuestionarios existentes. Si el </w:t>
      </w:r>
      <w:r w:rsidR="00D61086" w:rsidRPr="00615194">
        <w:rPr>
          <w:i/>
          <w:color w:val="A6A6A6" w:themeColor="background1" w:themeShade="A6"/>
          <w:lang w:val="en-US"/>
        </w:rPr>
        <w:t xml:space="preserve">Socio </w:t>
      </w:r>
      <w:r w:rsidRPr="00615194">
        <w:rPr>
          <w:i/>
          <w:color w:val="A6A6A6" w:themeColor="background1" w:themeShade="A6"/>
          <w:lang w:val="en-US"/>
        </w:rPr>
        <w:t xml:space="preserve">necesita procesar elementos de datos adicionales en el curso del proyecto, esto se puede acordar entre el ACNUR y el </w:t>
      </w:r>
      <w:r w:rsidR="00D61086" w:rsidRPr="00615194">
        <w:rPr>
          <w:i/>
          <w:color w:val="A6A6A6" w:themeColor="background1" w:themeShade="A6"/>
          <w:lang w:val="en-US"/>
        </w:rPr>
        <w:t xml:space="preserve">Socio </w:t>
      </w:r>
      <w:r w:rsidRPr="00615194">
        <w:rPr>
          <w:i/>
          <w:color w:val="A6A6A6" w:themeColor="background1" w:themeShade="A6"/>
          <w:lang w:val="en-US"/>
        </w:rPr>
        <w:t>a través de un simple intercambio de cartas o correos electrónicos. Este Anexo debe modificarse en consecuencia y la</w:t>
      </w:r>
      <w:r w:rsidR="000C756C" w:rsidRPr="00615194">
        <w:rPr>
          <w:i/>
          <w:color w:val="A6A6A6" w:themeColor="background1" w:themeShade="A6"/>
          <w:lang w:val="en-US"/>
        </w:rPr>
        <w:t xml:space="preserve"> correspondencia pertinente</w:t>
      </w:r>
      <w:r w:rsidRPr="00615194">
        <w:rPr>
          <w:i/>
          <w:color w:val="A6A6A6" w:themeColor="background1" w:themeShade="A6"/>
          <w:lang w:val="en-US"/>
        </w:rPr>
        <w:t xml:space="preserve"> incluirse en el </w:t>
      </w:r>
      <w:r w:rsidR="000C756C" w:rsidRPr="00615194">
        <w:rPr>
          <w:i/>
          <w:color w:val="A6A6A6" w:themeColor="background1" w:themeShade="A6"/>
          <w:lang w:val="en-US"/>
        </w:rPr>
        <w:t>Expediente</w:t>
      </w:r>
      <w:r w:rsidRPr="00615194">
        <w:rPr>
          <w:i/>
          <w:color w:val="A6A6A6" w:themeColor="background1" w:themeShade="A6"/>
          <w:lang w:val="en-US"/>
        </w:rPr>
        <w:t xml:space="preserve"> de Proyecto.</w:t>
      </w:r>
    </w:p>
    <w:p w14:paraId="604740E8" w14:textId="77777777" w:rsidR="00400874" w:rsidRDefault="000C756C">
      <w:pPr>
        <w:pStyle w:val="ListParagraph"/>
        <w:spacing w:after="0"/>
        <w:ind w:left="294"/>
        <w:jc w:val="both"/>
        <w:rPr>
          <w:i/>
          <w:color w:val="0070C0"/>
        </w:rPr>
      </w:pPr>
      <w:r>
        <w:rPr>
          <w:i/>
          <w:color w:val="0070C0"/>
        </w:rPr>
        <w:t>Referencias: Para. 2.4 DPP; párrafo</w:t>
      </w:r>
      <w:r w:rsidR="00223E3F">
        <w:rPr>
          <w:i/>
          <w:color w:val="0070C0"/>
        </w:rPr>
        <w:t xml:space="preserve">. 4.2 DPG y el </w:t>
      </w:r>
      <w:r w:rsidR="00EA032B" w:rsidRPr="00EA032B">
        <w:rPr>
          <w:i/>
          <w:color w:val="0070C0"/>
        </w:rPr>
        <w:t>Artículo 19.2 del Condiciones Generales del Contrato</w:t>
      </w:r>
      <w:r w:rsidR="00223E3F">
        <w:rPr>
          <w:i/>
          <w:color w:val="0070C0"/>
        </w:rPr>
        <w:t>.</w:t>
      </w:r>
    </w:p>
    <w:p w14:paraId="2891E9D0" w14:textId="77777777" w:rsidR="00400874" w:rsidRDefault="00400874">
      <w:pPr>
        <w:pStyle w:val="ListParagraph"/>
        <w:ind w:left="294"/>
      </w:pPr>
    </w:p>
    <w:p w14:paraId="348FFA5E" w14:textId="77777777" w:rsidR="00400874" w:rsidRDefault="00223E3F">
      <w:pPr>
        <w:pStyle w:val="ListParagraph"/>
        <w:numPr>
          <w:ilvl w:val="0"/>
          <w:numId w:val="1"/>
        </w:numPr>
        <w:ind w:left="294"/>
        <w:rPr>
          <w:b/>
        </w:rPr>
      </w:pPr>
      <w:r>
        <w:rPr>
          <w:b/>
        </w:rPr>
        <w:t>Base legítima para la r</w:t>
      </w:r>
      <w:r w:rsidR="000C756C">
        <w:rPr>
          <w:b/>
        </w:rPr>
        <w:t>ecolección</w:t>
      </w:r>
      <w:r>
        <w:rPr>
          <w:b/>
        </w:rPr>
        <w:t xml:space="preserve"> de datos personales.</w:t>
      </w:r>
    </w:p>
    <w:p w14:paraId="1284B660" w14:textId="77777777" w:rsidR="00400874" w:rsidRDefault="00872660">
      <w:pPr>
        <w:pStyle w:val="ListParagraph"/>
        <w:spacing w:after="0"/>
        <w:ind w:left="294"/>
        <w:jc w:val="both"/>
        <w:rPr>
          <w:rFonts w:ascii="Calibri" w:hAnsi="Calibri"/>
          <w:iCs/>
          <w:color w:val="FF0000"/>
          <w:sz w:val="20"/>
        </w:rPr>
      </w:pPr>
      <w:r>
        <w:rPr>
          <w:rFonts w:ascii="Calibri" w:hAnsi="Calibri"/>
          <w:iCs/>
          <w:color w:val="FF0000"/>
          <w:sz w:val="20"/>
        </w:rPr>
        <w:t xml:space="preserve">&lt; </w:t>
      </w:r>
      <w:r>
        <w:rPr>
          <w:rFonts w:ascii="Calibri" w:hAnsi="Calibri"/>
          <w:i/>
          <w:iCs/>
          <w:color w:val="FF0000"/>
          <w:sz w:val="20"/>
        </w:rPr>
        <w:t>Esta</w:t>
      </w:r>
      <w:r w:rsidR="00223E3F">
        <w:rPr>
          <w:rFonts w:ascii="Calibri" w:hAnsi="Calibri"/>
          <w:i/>
          <w:iCs/>
          <w:color w:val="FF0000"/>
          <w:sz w:val="20"/>
        </w:rPr>
        <w:t xml:space="preserve"> sección es obligatoria cuando el </w:t>
      </w:r>
      <w:r w:rsidR="00D61086">
        <w:rPr>
          <w:rFonts w:ascii="Calibri" w:hAnsi="Calibri"/>
          <w:i/>
          <w:iCs/>
          <w:color w:val="FF0000"/>
          <w:sz w:val="20"/>
        </w:rPr>
        <w:t xml:space="preserve">Socio </w:t>
      </w:r>
      <w:r w:rsidR="00223E3F">
        <w:rPr>
          <w:rFonts w:ascii="Calibri" w:hAnsi="Calibri"/>
          <w:i/>
          <w:iCs/>
          <w:color w:val="FF0000"/>
          <w:sz w:val="20"/>
        </w:rPr>
        <w:t>debe recopilar datos personales de PoC</w:t>
      </w:r>
      <w:r w:rsidR="000C756C" w:rsidRPr="000C756C">
        <w:rPr>
          <w:rFonts w:ascii="Calibri" w:hAnsi="Calibri"/>
          <w:i/>
          <w:iCs/>
          <w:color w:val="FF0000"/>
          <w:sz w:val="20"/>
        </w:rPr>
        <w:t xml:space="preserve"> </w:t>
      </w:r>
      <w:r w:rsidR="000C756C">
        <w:rPr>
          <w:rFonts w:ascii="Calibri" w:hAnsi="Calibri"/>
          <w:i/>
          <w:iCs/>
          <w:color w:val="FF0000"/>
          <w:sz w:val="20"/>
        </w:rPr>
        <w:t>nuevos</w:t>
      </w:r>
      <w:r w:rsidR="00223E3F">
        <w:rPr>
          <w:rFonts w:ascii="Calibri" w:hAnsi="Calibri"/>
          <w:i/>
          <w:iCs/>
          <w:color w:val="FF0000"/>
          <w:sz w:val="20"/>
        </w:rPr>
        <w:t xml:space="preserve">. Para desarrollarse conjuntamente por ACNUR con un </w:t>
      </w:r>
      <w:r w:rsidR="00096E9F">
        <w:rPr>
          <w:rFonts w:ascii="Calibri" w:hAnsi="Calibri"/>
          <w:i/>
          <w:iCs/>
          <w:color w:val="FF0000"/>
          <w:sz w:val="20"/>
        </w:rPr>
        <w:t>socio</w:t>
      </w:r>
      <w:r w:rsidR="00223E3F">
        <w:rPr>
          <w:rFonts w:ascii="Calibri" w:hAnsi="Calibri"/>
          <w:i/>
          <w:iCs/>
          <w:color w:val="FF0000"/>
          <w:sz w:val="20"/>
        </w:rPr>
        <w:t>.&gt;</w:t>
      </w:r>
    </w:p>
    <w:p w14:paraId="08554CA2" w14:textId="77777777" w:rsidR="00400874" w:rsidRPr="00615194" w:rsidRDefault="00223E3F">
      <w:pPr>
        <w:pStyle w:val="ListParagraph"/>
        <w:ind w:left="294"/>
        <w:jc w:val="both"/>
        <w:rPr>
          <w:i/>
          <w:color w:val="A6A6A6" w:themeColor="background1" w:themeShade="A6"/>
          <w:lang w:val="en-US"/>
        </w:rPr>
      </w:pPr>
      <w:r w:rsidRPr="00615194">
        <w:rPr>
          <w:i/>
          <w:color w:val="A6A6A6" w:themeColor="background1" w:themeShade="A6"/>
          <w:lang w:val="en-US"/>
        </w:rPr>
        <w:t xml:space="preserve">Indique si el </w:t>
      </w:r>
      <w:r w:rsidR="00D61086" w:rsidRPr="00615194">
        <w:rPr>
          <w:i/>
          <w:color w:val="A6A6A6" w:themeColor="background1" w:themeShade="A6"/>
          <w:lang w:val="en-US"/>
        </w:rPr>
        <w:t xml:space="preserve">Socio </w:t>
      </w:r>
      <w:r w:rsidRPr="00615194">
        <w:rPr>
          <w:i/>
          <w:color w:val="A6A6A6" w:themeColor="background1" w:themeShade="A6"/>
          <w:lang w:val="en-US"/>
        </w:rPr>
        <w:t xml:space="preserve">necesita obtener el consentimiento de los PoC y, de ser </w:t>
      </w:r>
      <w:r w:rsidR="000C756C" w:rsidRPr="00615194">
        <w:rPr>
          <w:i/>
          <w:color w:val="A6A6A6" w:themeColor="background1" w:themeShade="A6"/>
          <w:lang w:val="en-US"/>
        </w:rPr>
        <w:t>el caso</w:t>
      </w:r>
      <w:r w:rsidRPr="00615194">
        <w:rPr>
          <w:i/>
          <w:color w:val="A6A6A6" w:themeColor="background1" w:themeShade="A6"/>
          <w:lang w:val="en-US"/>
        </w:rPr>
        <w:t>, cómo se obtendrá el consentimiento (p</w:t>
      </w:r>
      <w:r w:rsidR="000C756C" w:rsidRPr="00615194">
        <w:rPr>
          <w:i/>
          <w:color w:val="A6A6A6" w:themeColor="background1" w:themeShade="A6"/>
          <w:lang w:val="en-US"/>
        </w:rPr>
        <w:t>or ejemplo,</w:t>
      </w:r>
      <w:r w:rsidRPr="00615194">
        <w:rPr>
          <w:i/>
          <w:color w:val="A6A6A6" w:themeColor="background1" w:themeShade="A6"/>
          <w:lang w:val="en-US"/>
        </w:rPr>
        <w:t xml:space="preserve"> Entrevista, asesoramiento, teléfono), qué información proporcionarán los PoC (p. Ej. Propósitos específicos, derechos de los sujetos de datos) y cóm</w:t>
      </w:r>
      <w:r w:rsidR="003A5F7A" w:rsidRPr="00615194">
        <w:rPr>
          <w:i/>
          <w:color w:val="A6A6A6" w:themeColor="background1" w:themeShade="A6"/>
          <w:lang w:val="en-US"/>
        </w:rPr>
        <w:t>o se obtendrá el consentimiento</w:t>
      </w:r>
      <w:r w:rsidRPr="00615194">
        <w:rPr>
          <w:i/>
          <w:color w:val="A6A6A6" w:themeColor="background1" w:themeShade="A6"/>
          <w:lang w:val="en-US"/>
        </w:rPr>
        <w:t xml:space="preserve"> grabado (por ejemplo, firma electrónica o de mano). Indique también los medios y métodos de recopilación de datos (por ejemplo, dispositivos móviles, papel).</w:t>
      </w:r>
    </w:p>
    <w:p w14:paraId="4B698877" w14:textId="77777777" w:rsidR="00400874" w:rsidRPr="00872660" w:rsidRDefault="000C756C">
      <w:pPr>
        <w:pStyle w:val="ListParagraph"/>
        <w:ind w:left="294"/>
        <w:jc w:val="both"/>
        <w:rPr>
          <w:i/>
          <w:color w:val="0070C0"/>
        </w:rPr>
      </w:pPr>
      <w:r w:rsidRPr="00872660">
        <w:rPr>
          <w:i/>
          <w:color w:val="0070C0"/>
        </w:rPr>
        <w:t>Referencias: Párrafo. 2.2 y 5.3 DPP; párrafo</w:t>
      </w:r>
      <w:r w:rsidR="00223E3F" w:rsidRPr="00872660">
        <w:rPr>
          <w:i/>
          <w:color w:val="0070C0"/>
        </w:rPr>
        <w:t xml:space="preserve">. 3.6 y 10.1.2 DPG y el </w:t>
      </w:r>
      <w:r w:rsidR="00EA032B" w:rsidRPr="00EA032B">
        <w:rPr>
          <w:i/>
          <w:color w:val="0070C0"/>
        </w:rPr>
        <w:t>Artículo 19.2 del Condiciones Generales del Contrato</w:t>
      </w:r>
      <w:r w:rsidR="00223E3F" w:rsidRPr="00872660">
        <w:rPr>
          <w:i/>
          <w:color w:val="0070C0"/>
        </w:rPr>
        <w:t>.</w:t>
      </w:r>
    </w:p>
    <w:p w14:paraId="7EA97785" w14:textId="77777777" w:rsidR="00400874" w:rsidRPr="00BB497E" w:rsidRDefault="00400874">
      <w:pPr>
        <w:pStyle w:val="ListParagraph"/>
        <w:ind w:left="294"/>
      </w:pPr>
    </w:p>
    <w:p w14:paraId="465B1EBB" w14:textId="77777777" w:rsidR="00400874" w:rsidRDefault="00223E3F">
      <w:pPr>
        <w:pStyle w:val="ListParagraph"/>
        <w:numPr>
          <w:ilvl w:val="0"/>
          <w:numId w:val="1"/>
        </w:numPr>
        <w:ind w:left="294"/>
        <w:rPr>
          <w:b/>
        </w:rPr>
      </w:pPr>
      <w:r>
        <w:rPr>
          <w:b/>
        </w:rPr>
        <w:t xml:space="preserve">Acceso del ACNUR a los datos personales recogidos por los </w:t>
      </w:r>
      <w:r w:rsidR="00096E9F">
        <w:rPr>
          <w:b/>
        </w:rPr>
        <w:t>socio</w:t>
      </w:r>
      <w:r w:rsidR="00F428D1">
        <w:rPr>
          <w:b/>
        </w:rPr>
        <w:t>s</w:t>
      </w:r>
      <w:r>
        <w:rPr>
          <w:b/>
        </w:rPr>
        <w:t>.</w:t>
      </w:r>
    </w:p>
    <w:p w14:paraId="30B6B7B0" w14:textId="77777777" w:rsidR="00400874" w:rsidRDefault="00872660">
      <w:pPr>
        <w:pStyle w:val="ListParagraph"/>
        <w:spacing w:after="0"/>
        <w:ind w:left="294"/>
        <w:jc w:val="both"/>
        <w:rPr>
          <w:rFonts w:ascii="Calibri" w:hAnsi="Calibri"/>
          <w:iCs/>
          <w:color w:val="FF0000"/>
          <w:sz w:val="20"/>
        </w:rPr>
      </w:pPr>
      <w:r>
        <w:rPr>
          <w:rFonts w:ascii="Calibri" w:hAnsi="Calibri"/>
          <w:iCs/>
          <w:color w:val="FF0000"/>
          <w:sz w:val="20"/>
        </w:rPr>
        <w:t xml:space="preserve">&lt; </w:t>
      </w:r>
      <w:r>
        <w:rPr>
          <w:rFonts w:ascii="Calibri" w:hAnsi="Calibri"/>
          <w:i/>
          <w:iCs/>
          <w:color w:val="FF0000"/>
          <w:sz w:val="20"/>
        </w:rPr>
        <w:t>Esta</w:t>
      </w:r>
      <w:r w:rsidR="000C756C">
        <w:rPr>
          <w:rFonts w:ascii="Calibri" w:hAnsi="Calibri"/>
          <w:i/>
          <w:iCs/>
          <w:color w:val="FF0000"/>
          <w:sz w:val="20"/>
        </w:rPr>
        <w:t xml:space="preserve"> sección es obligatoria </w:t>
      </w:r>
      <w:r w:rsidR="00223E3F">
        <w:rPr>
          <w:rFonts w:ascii="Calibri" w:hAnsi="Calibri"/>
          <w:i/>
          <w:iCs/>
          <w:color w:val="FF0000"/>
          <w:sz w:val="20"/>
        </w:rPr>
        <w:t xml:space="preserve">Para desarrollarse conjuntamente por ACNUR con un </w:t>
      </w:r>
      <w:r w:rsidR="00096E9F">
        <w:rPr>
          <w:rFonts w:ascii="Calibri" w:hAnsi="Calibri"/>
          <w:i/>
          <w:iCs/>
          <w:color w:val="FF0000"/>
          <w:sz w:val="20"/>
        </w:rPr>
        <w:t>socio</w:t>
      </w:r>
      <w:r w:rsidR="00223E3F">
        <w:rPr>
          <w:rFonts w:ascii="Calibri" w:hAnsi="Calibri"/>
          <w:i/>
          <w:iCs/>
          <w:color w:val="FF0000"/>
          <w:sz w:val="20"/>
        </w:rPr>
        <w:t>.&gt;</w:t>
      </w:r>
    </w:p>
    <w:p w14:paraId="6CB1A6EA" w14:textId="77777777" w:rsidR="00400874" w:rsidRPr="00615194" w:rsidRDefault="00223E3F">
      <w:pPr>
        <w:pStyle w:val="ListParagraph"/>
        <w:ind w:left="294"/>
        <w:jc w:val="both"/>
        <w:rPr>
          <w:i/>
          <w:color w:val="A6A6A6" w:themeColor="background1" w:themeShade="A6"/>
          <w:lang w:val="en-US"/>
        </w:rPr>
      </w:pPr>
      <w:r w:rsidRPr="00615194">
        <w:rPr>
          <w:i/>
          <w:color w:val="A6A6A6" w:themeColor="background1" w:themeShade="A6"/>
          <w:lang w:val="en-US"/>
        </w:rPr>
        <w:t xml:space="preserve">Indique si el </w:t>
      </w:r>
      <w:r w:rsidR="00D61086" w:rsidRPr="00615194">
        <w:rPr>
          <w:i/>
          <w:color w:val="A6A6A6" w:themeColor="background1" w:themeShade="A6"/>
          <w:lang w:val="en-US"/>
        </w:rPr>
        <w:t xml:space="preserve">Socio </w:t>
      </w:r>
      <w:r w:rsidRPr="00615194">
        <w:rPr>
          <w:i/>
          <w:color w:val="A6A6A6" w:themeColor="background1" w:themeShade="A6"/>
          <w:lang w:val="en-US"/>
        </w:rPr>
        <w:t>con ACNUR debe compartir datos personales, cómo y con qué frecuencia.</w:t>
      </w:r>
    </w:p>
    <w:p w14:paraId="28F8F9CB" w14:textId="77777777" w:rsidR="00400874" w:rsidRPr="006271D6" w:rsidRDefault="00400874">
      <w:pPr>
        <w:pStyle w:val="ListParagraph"/>
        <w:ind w:left="294"/>
        <w:rPr>
          <w:i/>
        </w:rPr>
      </w:pPr>
    </w:p>
    <w:p w14:paraId="72939678" w14:textId="77777777" w:rsidR="00400874" w:rsidRDefault="00223E3F">
      <w:pPr>
        <w:pStyle w:val="ListParagraph"/>
        <w:numPr>
          <w:ilvl w:val="0"/>
          <w:numId w:val="1"/>
        </w:numPr>
        <w:ind w:left="294"/>
        <w:rPr>
          <w:b/>
        </w:rPr>
      </w:pPr>
      <w:r>
        <w:rPr>
          <w:b/>
        </w:rPr>
        <w:t>Medidas de acceso y control del usuario.</w:t>
      </w:r>
    </w:p>
    <w:p w14:paraId="23005C80" w14:textId="77777777" w:rsidR="00400874" w:rsidRDefault="00872660">
      <w:pPr>
        <w:pStyle w:val="ListParagraph"/>
        <w:spacing w:after="0"/>
        <w:ind w:left="294"/>
        <w:jc w:val="both"/>
        <w:rPr>
          <w:rFonts w:ascii="Calibri" w:hAnsi="Calibri"/>
          <w:iCs/>
          <w:color w:val="FF0000"/>
          <w:sz w:val="20"/>
        </w:rPr>
      </w:pPr>
      <w:r>
        <w:rPr>
          <w:rFonts w:ascii="Calibri" w:hAnsi="Calibri"/>
          <w:iCs/>
          <w:color w:val="FF0000"/>
          <w:sz w:val="20"/>
        </w:rPr>
        <w:t xml:space="preserve">&lt; </w:t>
      </w:r>
      <w:r>
        <w:rPr>
          <w:rFonts w:ascii="Calibri" w:hAnsi="Calibri"/>
          <w:i/>
          <w:iCs/>
          <w:color w:val="FF0000"/>
          <w:sz w:val="20"/>
        </w:rPr>
        <w:t>Esta</w:t>
      </w:r>
      <w:r w:rsidR="000C756C">
        <w:rPr>
          <w:rFonts w:ascii="Calibri" w:hAnsi="Calibri"/>
          <w:i/>
          <w:iCs/>
          <w:color w:val="FF0000"/>
          <w:sz w:val="20"/>
        </w:rPr>
        <w:t xml:space="preserve"> sección es obligatoria </w:t>
      </w:r>
      <w:r w:rsidR="00223E3F">
        <w:rPr>
          <w:rFonts w:ascii="Calibri" w:hAnsi="Calibri"/>
          <w:i/>
          <w:iCs/>
          <w:color w:val="FF0000"/>
          <w:sz w:val="20"/>
        </w:rPr>
        <w:t xml:space="preserve">Para desarrollarse conjuntamente por ACNUR con un </w:t>
      </w:r>
      <w:r w:rsidR="00096E9F">
        <w:rPr>
          <w:rFonts w:ascii="Calibri" w:hAnsi="Calibri"/>
          <w:i/>
          <w:iCs/>
          <w:color w:val="FF0000"/>
          <w:sz w:val="20"/>
        </w:rPr>
        <w:t>socio</w:t>
      </w:r>
      <w:r w:rsidR="00223E3F">
        <w:rPr>
          <w:rFonts w:ascii="Calibri" w:hAnsi="Calibri"/>
          <w:i/>
          <w:iCs/>
          <w:color w:val="FF0000"/>
          <w:sz w:val="20"/>
        </w:rPr>
        <w:t>.&gt;</w:t>
      </w:r>
    </w:p>
    <w:p w14:paraId="5FE96B59" w14:textId="77777777" w:rsidR="00400874" w:rsidRPr="00615194" w:rsidRDefault="00223E3F">
      <w:pPr>
        <w:pStyle w:val="ListParagraph"/>
        <w:ind w:left="294"/>
        <w:jc w:val="both"/>
        <w:rPr>
          <w:i/>
          <w:color w:val="A6A6A6" w:themeColor="background1" w:themeShade="A6"/>
          <w:lang w:val="en-US"/>
        </w:rPr>
      </w:pPr>
      <w:r w:rsidRPr="00615194">
        <w:rPr>
          <w:i/>
          <w:color w:val="A6A6A6" w:themeColor="background1" w:themeShade="A6"/>
          <w:lang w:val="en-US"/>
        </w:rPr>
        <w:t>Describa cómo se gestiona el acceso a los datos personales de PoC, por ejemplo, quién es responsable del</w:t>
      </w:r>
      <w:r w:rsidRPr="00872660">
        <w:rPr>
          <w:i/>
        </w:rPr>
        <w:t xml:space="preserve"> </w:t>
      </w:r>
      <w:r w:rsidRPr="00615194">
        <w:rPr>
          <w:i/>
          <w:color w:val="A6A6A6" w:themeColor="background1" w:themeShade="A6"/>
          <w:lang w:val="en-US"/>
        </w:rPr>
        <w:t xml:space="preserve">control de acceso, y enumere los nombres del personal que se beneficia del acceso dentro del </w:t>
      </w:r>
      <w:r w:rsidR="00096E9F" w:rsidRPr="00615194">
        <w:rPr>
          <w:i/>
          <w:color w:val="A6A6A6" w:themeColor="background1" w:themeShade="A6"/>
          <w:lang w:val="en-US"/>
        </w:rPr>
        <w:t>Socio</w:t>
      </w:r>
      <w:r w:rsidRPr="00615194">
        <w:rPr>
          <w:i/>
          <w:color w:val="A6A6A6" w:themeColor="background1" w:themeShade="A6"/>
          <w:lang w:val="en-US"/>
        </w:rPr>
        <w:t xml:space="preserve">. </w:t>
      </w:r>
    </w:p>
    <w:p w14:paraId="0C048691" w14:textId="48205A1E" w:rsidR="00B56854" w:rsidRPr="002D7E09" w:rsidRDefault="00223E3F" w:rsidP="002D7E09">
      <w:pPr>
        <w:pStyle w:val="ListParagraph"/>
        <w:ind w:left="294"/>
        <w:jc w:val="both"/>
        <w:rPr>
          <w:i/>
          <w:color w:val="0070C0"/>
        </w:rPr>
      </w:pPr>
      <w:r w:rsidRPr="00872660">
        <w:rPr>
          <w:i/>
          <w:color w:val="0070C0"/>
        </w:rPr>
        <w:t>Referencias: P</w:t>
      </w:r>
      <w:r w:rsidR="000C756C" w:rsidRPr="00872660">
        <w:rPr>
          <w:i/>
          <w:color w:val="0070C0"/>
        </w:rPr>
        <w:t>árrafo</w:t>
      </w:r>
      <w:r w:rsidRPr="00872660">
        <w:rPr>
          <w:i/>
          <w:color w:val="0070C0"/>
        </w:rPr>
        <w:t xml:space="preserve">. 5.2 y 5.4 DPP; </w:t>
      </w:r>
      <w:r w:rsidR="000C756C" w:rsidRPr="00872660">
        <w:rPr>
          <w:i/>
          <w:color w:val="0070C0"/>
        </w:rPr>
        <w:t>Párrafo</w:t>
      </w:r>
      <w:r w:rsidRPr="00872660">
        <w:rPr>
          <w:i/>
          <w:color w:val="0070C0"/>
        </w:rPr>
        <w:t xml:space="preserve">. 10.1.2 y 10.2 DPG y el </w:t>
      </w:r>
      <w:r w:rsidR="00EA032B" w:rsidRPr="00EA032B">
        <w:rPr>
          <w:i/>
          <w:color w:val="0070C0"/>
        </w:rPr>
        <w:t>Artículo 19.</w:t>
      </w:r>
      <w:r w:rsidR="00EA032B">
        <w:rPr>
          <w:i/>
          <w:color w:val="0070C0"/>
        </w:rPr>
        <w:t>5</w:t>
      </w:r>
      <w:r w:rsidR="00EA032B" w:rsidRPr="00EA032B">
        <w:rPr>
          <w:i/>
          <w:color w:val="0070C0"/>
        </w:rPr>
        <w:t xml:space="preserve"> del Condiciones Generales del Contrato</w:t>
      </w:r>
      <w:r w:rsidRPr="00872660">
        <w:rPr>
          <w:i/>
          <w:color w:val="0070C0"/>
        </w:rPr>
        <w:t>.</w:t>
      </w:r>
    </w:p>
    <w:p w14:paraId="24AB0FA4" w14:textId="77777777" w:rsidR="00B56854" w:rsidRDefault="00B56854" w:rsidP="00B56854">
      <w:pPr>
        <w:pStyle w:val="ListParagraph"/>
        <w:ind w:left="294"/>
        <w:jc w:val="both"/>
        <w:rPr>
          <w:i/>
        </w:rPr>
      </w:pPr>
      <w:r>
        <w:rPr>
          <w:i/>
        </w:rPr>
        <w:t xml:space="preserve"> </w:t>
      </w:r>
    </w:p>
    <w:p w14:paraId="5183CB70" w14:textId="77777777" w:rsidR="00400874" w:rsidRDefault="00223E3F">
      <w:pPr>
        <w:pStyle w:val="ListParagraph"/>
        <w:numPr>
          <w:ilvl w:val="0"/>
          <w:numId w:val="1"/>
        </w:numPr>
        <w:ind w:left="294"/>
        <w:rPr>
          <w:b/>
        </w:rPr>
      </w:pPr>
      <w:r>
        <w:rPr>
          <w:b/>
        </w:rPr>
        <w:t>Almacenamiento y transferencia de datos personales.</w:t>
      </w:r>
    </w:p>
    <w:p w14:paraId="48205EC1" w14:textId="77777777" w:rsidR="00400874" w:rsidRDefault="000C756C">
      <w:pPr>
        <w:pStyle w:val="ListParagraph"/>
        <w:spacing w:after="0"/>
        <w:ind w:left="294"/>
        <w:jc w:val="both"/>
        <w:rPr>
          <w:rFonts w:ascii="Calibri" w:hAnsi="Calibri"/>
          <w:iCs/>
          <w:color w:val="FF0000"/>
          <w:sz w:val="20"/>
        </w:rPr>
      </w:pPr>
      <w:r>
        <w:rPr>
          <w:rFonts w:ascii="Calibri" w:hAnsi="Calibri"/>
          <w:iCs/>
          <w:color w:val="FF0000"/>
          <w:sz w:val="20"/>
        </w:rPr>
        <w:t xml:space="preserve">&lt; </w:t>
      </w:r>
      <w:r>
        <w:rPr>
          <w:rFonts w:ascii="Calibri" w:hAnsi="Calibri"/>
          <w:i/>
          <w:iCs/>
          <w:color w:val="FF0000"/>
          <w:sz w:val="20"/>
        </w:rPr>
        <w:t xml:space="preserve"> Esta sección es obligatoria. </w:t>
      </w:r>
      <w:r w:rsidR="00223E3F">
        <w:rPr>
          <w:rFonts w:ascii="Calibri" w:hAnsi="Calibri"/>
          <w:i/>
          <w:iCs/>
          <w:color w:val="FF0000"/>
          <w:sz w:val="20"/>
        </w:rPr>
        <w:t xml:space="preserve">Para desarrollarse conjuntamente por ACNUR con un </w:t>
      </w:r>
      <w:r w:rsidR="00096E9F">
        <w:rPr>
          <w:rFonts w:ascii="Calibri" w:hAnsi="Calibri"/>
          <w:i/>
          <w:iCs/>
          <w:color w:val="FF0000"/>
          <w:sz w:val="20"/>
        </w:rPr>
        <w:t>socio</w:t>
      </w:r>
      <w:r w:rsidR="00223E3F">
        <w:rPr>
          <w:rFonts w:ascii="Calibri" w:hAnsi="Calibri"/>
          <w:i/>
          <w:iCs/>
          <w:color w:val="FF0000"/>
          <w:sz w:val="20"/>
        </w:rPr>
        <w:t>.&gt;</w:t>
      </w:r>
    </w:p>
    <w:p w14:paraId="1CDFEE81" w14:textId="77777777" w:rsidR="00400874" w:rsidRPr="00615194" w:rsidRDefault="00223E3F">
      <w:pPr>
        <w:pStyle w:val="ListParagraph"/>
        <w:ind w:left="294"/>
        <w:jc w:val="both"/>
        <w:rPr>
          <w:i/>
          <w:color w:val="A6A6A6" w:themeColor="background1" w:themeShade="A6"/>
          <w:lang w:val="en-US"/>
        </w:rPr>
      </w:pPr>
      <w:r w:rsidRPr="00615194">
        <w:rPr>
          <w:i/>
          <w:color w:val="A6A6A6" w:themeColor="background1" w:themeShade="A6"/>
          <w:lang w:val="en-US"/>
        </w:rPr>
        <w:t xml:space="preserve">Describa dónde se almacenarán los datos personales de PoC, por ejemplo, en ACNUR o en la base de datos administrada por el </w:t>
      </w:r>
      <w:r w:rsidR="00096E9F" w:rsidRPr="00615194">
        <w:rPr>
          <w:i/>
          <w:color w:val="A6A6A6" w:themeColor="background1" w:themeShade="A6"/>
          <w:lang w:val="en-US"/>
        </w:rPr>
        <w:t>Socio</w:t>
      </w:r>
      <w:r w:rsidRPr="00615194">
        <w:rPr>
          <w:i/>
          <w:color w:val="A6A6A6" w:themeColor="background1" w:themeShade="A6"/>
          <w:lang w:val="en-US"/>
        </w:rPr>
        <w:t>, y cómo se transferirán dichos datos, en particular al ACNUR. Describa las medidas aplicables de almacenamiento y transferencia de datos, transporte y control de comunicación.</w:t>
      </w:r>
    </w:p>
    <w:p w14:paraId="473E03BC" w14:textId="133A050C" w:rsidR="00B56854" w:rsidRPr="002D7E09" w:rsidRDefault="00223E3F" w:rsidP="002D7E09">
      <w:pPr>
        <w:pStyle w:val="ListParagraph"/>
        <w:ind w:left="294"/>
        <w:jc w:val="both"/>
        <w:rPr>
          <w:i/>
          <w:color w:val="0070C0"/>
        </w:rPr>
      </w:pPr>
      <w:r w:rsidRPr="00615194">
        <w:rPr>
          <w:i/>
          <w:color w:val="0070C0"/>
        </w:rPr>
        <w:t xml:space="preserve">Referencias: </w:t>
      </w:r>
      <w:r w:rsidR="000C756C" w:rsidRPr="00615194">
        <w:rPr>
          <w:i/>
          <w:color w:val="0070C0"/>
        </w:rPr>
        <w:t>Párrafo</w:t>
      </w:r>
      <w:r w:rsidRPr="00615194">
        <w:rPr>
          <w:i/>
          <w:color w:val="0070C0"/>
        </w:rPr>
        <w:t xml:space="preserve">. 5.2 y 5.4 DPP; </w:t>
      </w:r>
      <w:r w:rsidR="000C756C" w:rsidRPr="00615194">
        <w:rPr>
          <w:i/>
          <w:color w:val="0070C0"/>
        </w:rPr>
        <w:t>Párrafo</w:t>
      </w:r>
      <w:r w:rsidRPr="00615194">
        <w:rPr>
          <w:i/>
          <w:color w:val="0070C0"/>
        </w:rPr>
        <w:t xml:space="preserve">. 10.1.2 y 10.2 DPG y el </w:t>
      </w:r>
      <w:r w:rsidR="00EA032B" w:rsidRPr="00EA032B">
        <w:rPr>
          <w:i/>
          <w:color w:val="0070C0"/>
        </w:rPr>
        <w:t>Artículo 19.</w:t>
      </w:r>
      <w:r w:rsidR="00EA032B">
        <w:rPr>
          <w:i/>
          <w:color w:val="0070C0"/>
        </w:rPr>
        <w:t>6</w:t>
      </w:r>
      <w:r w:rsidR="00EA032B" w:rsidRPr="00EA032B">
        <w:rPr>
          <w:i/>
          <w:color w:val="0070C0"/>
        </w:rPr>
        <w:t xml:space="preserve"> del Condiciones Generales del Contrato</w:t>
      </w:r>
      <w:r w:rsidRPr="00615194">
        <w:rPr>
          <w:i/>
          <w:color w:val="0070C0"/>
        </w:rPr>
        <w:t>.</w:t>
      </w:r>
    </w:p>
    <w:p w14:paraId="5E6AECDA" w14:textId="77777777" w:rsidR="00B56854" w:rsidRPr="00615194" w:rsidRDefault="00B56854" w:rsidP="00B56854">
      <w:pPr>
        <w:pStyle w:val="ListParagraph"/>
        <w:jc w:val="both"/>
        <w:rPr>
          <w:color w:val="000000"/>
        </w:rPr>
      </w:pPr>
    </w:p>
    <w:p w14:paraId="470D4CB9" w14:textId="77777777" w:rsidR="00400874" w:rsidRPr="00615194" w:rsidRDefault="00F428D1">
      <w:pPr>
        <w:pStyle w:val="ListParagraph"/>
        <w:numPr>
          <w:ilvl w:val="0"/>
          <w:numId w:val="1"/>
        </w:numPr>
        <w:ind w:left="294"/>
        <w:rPr>
          <w:b/>
        </w:rPr>
      </w:pPr>
      <w:r w:rsidRPr="00615194">
        <w:rPr>
          <w:b/>
        </w:rPr>
        <w:t>Derechos de los sujetos</w:t>
      </w:r>
    </w:p>
    <w:p w14:paraId="644533C4" w14:textId="77777777" w:rsidR="00400874" w:rsidRDefault="000C756C">
      <w:pPr>
        <w:pStyle w:val="ListParagraph"/>
        <w:spacing w:after="0"/>
        <w:ind w:left="294"/>
        <w:jc w:val="both"/>
        <w:rPr>
          <w:rFonts w:ascii="Calibri" w:hAnsi="Calibri"/>
          <w:iCs/>
          <w:color w:val="FF0000"/>
          <w:sz w:val="20"/>
        </w:rPr>
      </w:pPr>
      <w:r>
        <w:rPr>
          <w:rFonts w:ascii="Calibri" w:hAnsi="Calibri"/>
          <w:iCs/>
          <w:color w:val="FF0000"/>
          <w:sz w:val="20"/>
        </w:rPr>
        <w:t xml:space="preserve">&lt; </w:t>
      </w:r>
      <w:r>
        <w:rPr>
          <w:rFonts w:ascii="Calibri" w:hAnsi="Calibri"/>
          <w:i/>
          <w:iCs/>
          <w:color w:val="FF0000"/>
          <w:sz w:val="20"/>
        </w:rPr>
        <w:t xml:space="preserve"> Esta sección es obligatoria.</w:t>
      </w:r>
      <w:r w:rsidR="00223E3F">
        <w:rPr>
          <w:rFonts w:ascii="Calibri" w:hAnsi="Calibri"/>
          <w:i/>
          <w:iCs/>
          <w:color w:val="FF0000"/>
          <w:sz w:val="20"/>
        </w:rPr>
        <w:t xml:space="preserve"> Para desarrollarse conjuntamente por ACNUR con un </w:t>
      </w:r>
      <w:r w:rsidR="00096E9F">
        <w:rPr>
          <w:rFonts w:ascii="Calibri" w:hAnsi="Calibri"/>
          <w:i/>
          <w:iCs/>
          <w:color w:val="FF0000"/>
          <w:sz w:val="20"/>
        </w:rPr>
        <w:t>socio</w:t>
      </w:r>
      <w:r w:rsidR="00223E3F">
        <w:rPr>
          <w:rFonts w:ascii="Calibri" w:hAnsi="Calibri"/>
          <w:i/>
          <w:iCs/>
          <w:color w:val="FF0000"/>
          <w:sz w:val="20"/>
        </w:rPr>
        <w:t>.&gt;</w:t>
      </w:r>
    </w:p>
    <w:p w14:paraId="4DDFC8E2" w14:textId="77777777" w:rsidR="00400874" w:rsidRPr="00615194" w:rsidRDefault="00223E3F">
      <w:pPr>
        <w:pStyle w:val="ListParagraph"/>
        <w:ind w:left="294"/>
        <w:jc w:val="both"/>
        <w:rPr>
          <w:i/>
          <w:color w:val="A6A6A6" w:themeColor="background1" w:themeShade="A6"/>
          <w:lang w:val="en-US"/>
        </w:rPr>
      </w:pPr>
      <w:r w:rsidRPr="00615194">
        <w:rPr>
          <w:i/>
          <w:color w:val="A6A6A6" w:themeColor="background1" w:themeShade="A6"/>
          <w:lang w:val="en-US"/>
        </w:rPr>
        <w:t xml:space="preserve">Describa si y cómo el </w:t>
      </w:r>
      <w:r w:rsidR="00D61086" w:rsidRPr="00615194">
        <w:rPr>
          <w:i/>
          <w:color w:val="A6A6A6" w:themeColor="background1" w:themeShade="A6"/>
          <w:lang w:val="en-US"/>
        </w:rPr>
        <w:t xml:space="preserve">Socio </w:t>
      </w:r>
      <w:r w:rsidRPr="00615194">
        <w:rPr>
          <w:i/>
          <w:color w:val="A6A6A6" w:themeColor="background1" w:themeShade="A6"/>
          <w:lang w:val="en-US"/>
        </w:rPr>
        <w:t xml:space="preserve">debe atender las solicitudes de los sujetos de datos para ejercer sus derechos en virtud de la Política de Protección de Datos del ACNUR, por ejemplo, a quién deben remitirse dichas solicitudes en el ACNUR. Indique también en qué casos el </w:t>
      </w:r>
      <w:r w:rsidR="00D61086" w:rsidRPr="00615194">
        <w:rPr>
          <w:i/>
          <w:color w:val="A6A6A6" w:themeColor="background1" w:themeShade="A6"/>
          <w:lang w:val="en-US"/>
        </w:rPr>
        <w:t xml:space="preserve">Socio </w:t>
      </w:r>
      <w:r w:rsidRPr="00615194">
        <w:rPr>
          <w:i/>
          <w:color w:val="A6A6A6" w:themeColor="background1" w:themeShade="A6"/>
          <w:lang w:val="en-US"/>
        </w:rPr>
        <w:t>puede manejar las solicitudes de los sujetos de datos por su cuenta (por ejemplo, acceso o corrección) y si y cómo se debe informar al ACNUR.</w:t>
      </w:r>
    </w:p>
    <w:p w14:paraId="1D2A6869" w14:textId="77777777" w:rsidR="00400874" w:rsidRDefault="00223E3F">
      <w:pPr>
        <w:pStyle w:val="ListParagraph"/>
        <w:ind w:left="294"/>
        <w:jc w:val="both"/>
        <w:rPr>
          <w:i/>
          <w:color w:val="0070C0"/>
        </w:rPr>
      </w:pPr>
      <w:r>
        <w:rPr>
          <w:i/>
          <w:color w:val="0070C0"/>
        </w:rPr>
        <w:t xml:space="preserve">Referencias: Para. 5.4 DPP; paraca. 10.2.1 DPG y el </w:t>
      </w:r>
      <w:r w:rsidR="00EA032B" w:rsidRPr="00EA032B">
        <w:rPr>
          <w:i/>
          <w:color w:val="0070C0"/>
        </w:rPr>
        <w:t>Artículo 19.2 del Condiciones Generales del Contrato</w:t>
      </w:r>
      <w:r>
        <w:rPr>
          <w:i/>
          <w:color w:val="0070C0"/>
        </w:rPr>
        <w:t>.</w:t>
      </w:r>
    </w:p>
    <w:p w14:paraId="235E1BAA" w14:textId="77777777" w:rsidR="00B56854" w:rsidRDefault="00B56854" w:rsidP="00B56854">
      <w:pPr>
        <w:pStyle w:val="Default"/>
        <w:ind w:right="144"/>
        <w:jc w:val="both"/>
        <w:rPr>
          <w:rFonts w:asciiTheme="minorHAnsi" w:hAnsiTheme="minorHAnsi" w:cstheme="minorHAnsi"/>
          <w:color w:val="auto"/>
          <w:sz w:val="22"/>
          <w:szCs w:val="22"/>
          <w:lang w:val="en-US"/>
        </w:rPr>
      </w:pPr>
    </w:p>
    <w:p w14:paraId="6C581C00" w14:textId="77777777" w:rsidR="00400874" w:rsidRDefault="00223E3F">
      <w:pPr>
        <w:pStyle w:val="ListParagraph"/>
        <w:numPr>
          <w:ilvl w:val="0"/>
          <w:numId w:val="1"/>
        </w:numPr>
        <w:ind w:left="294"/>
        <w:rPr>
          <w:b/>
        </w:rPr>
      </w:pPr>
      <w:r>
        <w:rPr>
          <w:b/>
        </w:rPr>
        <w:t>Aviso de violación de datos personales</w:t>
      </w:r>
    </w:p>
    <w:p w14:paraId="0B3724A3" w14:textId="77777777" w:rsidR="00400874" w:rsidRDefault="00777DCD">
      <w:pPr>
        <w:pStyle w:val="ListParagraph"/>
        <w:spacing w:after="0"/>
        <w:ind w:left="294"/>
        <w:jc w:val="both"/>
        <w:rPr>
          <w:rFonts w:ascii="Calibri" w:hAnsi="Calibri"/>
          <w:iCs/>
          <w:color w:val="FF0000"/>
          <w:sz w:val="20"/>
        </w:rPr>
      </w:pPr>
      <w:r>
        <w:rPr>
          <w:rFonts w:ascii="Calibri" w:hAnsi="Calibri"/>
          <w:iCs/>
          <w:color w:val="FF0000"/>
          <w:sz w:val="20"/>
        </w:rPr>
        <w:t xml:space="preserve">&lt; </w:t>
      </w:r>
      <w:r>
        <w:rPr>
          <w:rFonts w:ascii="Calibri" w:hAnsi="Calibri"/>
          <w:i/>
          <w:iCs/>
          <w:color w:val="FF0000"/>
          <w:sz w:val="20"/>
        </w:rPr>
        <w:t xml:space="preserve"> Esta sección es obligatoria.</w:t>
      </w:r>
      <w:r w:rsidR="00223E3F">
        <w:rPr>
          <w:rFonts w:ascii="Calibri" w:hAnsi="Calibri"/>
          <w:i/>
          <w:iCs/>
          <w:color w:val="FF0000"/>
          <w:sz w:val="20"/>
        </w:rPr>
        <w:t xml:space="preserve"> Para desarrollarse conjuntamente por ACNUR con un </w:t>
      </w:r>
      <w:r w:rsidR="00096E9F">
        <w:rPr>
          <w:rFonts w:ascii="Calibri" w:hAnsi="Calibri"/>
          <w:i/>
          <w:iCs/>
          <w:color w:val="FF0000"/>
          <w:sz w:val="20"/>
        </w:rPr>
        <w:t>socio</w:t>
      </w:r>
      <w:r w:rsidR="00223E3F">
        <w:rPr>
          <w:rFonts w:ascii="Calibri" w:hAnsi="Calibri"/>
          <w:i/>
          <w:iCs/>
          <w:color w:val="FF0000"/>
          <w:sz w:val="20"/>
        </w:rPr>
        <w:t>.&gt;</w:t>
      </w:r>
    </w:p>
    <w:p w14:paraId="5D8545C6" w14:textId="77777777" w:rsidR="00400874" w:rsidRPr="00615194" w:rsidRDefault="00223E3F">
      <w:pPr>
        <w:pStyle w:val="ListParagraph"/>
        <w:ind w:left="294"/>
        <w:jc w:val="both"/>
        <w:rPr>
          <w:i/>
          <w:color w:val="A6A6A6" w:themeColor="background1" w:themeShade="A6"/>
          <w:lang w:val="en-US"/>
        </w:rPr>
      </w:pPr>
      <w:r w:rsidRPr="00615194">
        <w:rPr>
          <w:i/>
          <w:color w:val="A6A6A6" w:themeColor="background1" w:themeShade="A6"/>
          <w:lang w:val="en-US"/>
        </w:rPr>
        <w:t>Especifique cómo y a quién se debe notificar una violación de datos personales en el ACNUR, incluidos los plazos.</w:t>
      </w:r>
    </w:p>
    <w:p w14:paraId="5CD29E7C" w14:textId="77777777" w:rsidR="00400874" w:rsidRDefault="00223E3F">
      <w:pPr>
        <w:pStyle w:val="ListParagraph"/>
        <w:ind w:left="294"/>
        <w:rPr>
          <w:i/>
          <w:color w:val="0070C0"/>
        </w:rPr>
      </w:pPr>
      <w:r>
        <w:rPr>
          <w:i/>
          <w:color w:val="0070C0"/>
        </w:rPr>
        <w:t xml:space="preserve">Referencias: </w:t>
      </w:r>
      <w:r w:rsidR="00777DCD">
        <w:rPr>
          <w:i/>
          <w:color w:val="0070C0"/>
        </w:rPr>
        <w:t>Párrafo</w:t>
      </w:r>
      <w:r>
        <w:rPr>
          <w:i/>
          <w:color w:val="0070C0"/>
        </w:rPr>
        <w:t xml:space="preserve">. 4.4 DPP; </w:t>
      </w:r>
      <w:r w:rsidR="00777DCD">
        <w:rPr>
          <w:i/>
          <w:color w:val="0070C0"/>
        </w:rPr>
        <w:t>Párrafo</w:t>
      </w:r>
      <w:r>
        <w:rPr>
          <w:i/>
          <w:color w:val="0070C0"/>
        </w:rPr>
        <w:t xml:space="preserve">. 7.4 DPG y el </w:t>
      </w:r>
      <w:r w:rsidR="00EA032B" w:rsidRPr="00EA032B">
        <w:rPr>
          <w:i/>
          <w:color w:val="0070C0"/>
        </w:rPr>
        <w:t>Artículo 19.</w:t>
      </w:r>
      <w:r w:rsidR="00EA032B">
        <w:rPr>
          <w:i/>
          <w:color w:val="0070C0"/>
        </w:rPr>
        <w:t>6</w:t>
      </w:r>
      <w:r w:rsidR="00EA032B" w:rsidRPr="00EA032B">
        <w:rPr>
          <w:i/>
          <w:color w:val="0070C0"/>
        </w:rPr>
        <w:t xml:space="preserve"> del Condiciones Generales del Contrato</w:t>
      </w:r>
      <w:r>
        <w:rPr>
          <w:i/>
          <w:color w:val="0070C0"/>
        </w:rPr>
        <w:t xml:space="preserve">. </w:t>
      </w:r>
    </w:p>
    <w:p w14:paraId="1716E7EC" w14:textId="77777777" w:rsidR="00B56854" w:rsidRDefault="00B56854">
      <w:pPr>
        <w:pStyle w:val="ListParagraph"/>
        <w:ind w:left="294"/>
        <w:rPr>
          <w:i/>
          <w:color w:val="0070C0"/>
        </w:rPr>
      </w:pPr>
    </w:p>
    <w:p w14:paraId="326A88CE" w14:textId="77777777" w:rsidR="00400874" w:rsidRPr="00B56854" w:rsidRDefault="00400874">
      <w:pPr>
        <w:pStyle w:val="ListParagraph"/>
        <w:ind w:left="294"/>
        <w:rPr>
          <w:lang w:val="en-GB"/>
        </w:rPr>
      </w:pPr>
    </w:p>
    <w:p w14:paraId="3C0F1F54" w14:textId="77777777" w:rsidR="00400874" w:rsidRDefault="00223E3F">
      <w:pPr>
        <w:pStyle w:val="ListParagraph"/>
        <w:numPr>
          <w:ilvl w:val="0"/>
          <w:numId w:val="1"/>
        </w:numPr>
        <w:ind w:left="294"/>
        <w:rPr>
          <w:b/>
        </w:rPr>
      </w:pPr>
      <w:r>
        <w:rPr>
          <w:b/>
        </w:rPr>
        <w:t>Compartir / Transferencias con subcontratistas o terceros.</w:t>
      </w:r>
    </w:p>
    <w:p w14:paraId="2B31A0D9" w14:textId="77777777" w:rsidR="00400874" w:rsidRDefault="00777DCD">
      <w:pPr>
        <w:pStyle w:val="ListParagraph"/>
        <w:spacing w:after="0"/>
        <w:ind w:left="294"/>
        <w:jc w:val="both"/>
        <w:rPr>
          <w:rFonts w:ascii="Calibri" w:hAnsi="Calibri"/>
          <w:iCs/>
          <w:color w:val="FF0000"/>
          <w:sz w:val="20"/>
        </w:rPr>
      </w:pPr>
      <w:r>
        <w:rPr>
          <w:rFonts w:ascii="Calibri" w:hAnsi="Calibri"/>
          <w:iCs/>
          <w:color w:val="FF0000"/>
          <w:sz w:val="20"/>
        </w:rPr>
        <w:t xml:space="preserve">&lt; </w:t>
      </w:r>
      <w:r>
        <w:rPr>
          <w:rFonts w:ascii="Calibri" w:hAnsi="Calibri"/>
          <w:i/>
          <w:iCs/>
          <w:color w:val="FF0000"/>
          <w:sz w:val="20"/>
        </w:rPr>
        <w:t xml:space="preserve"> Esta sección no es obligatoria </w:t>
      </w:r>
      <w:r w:rsidR="00223E3F">
        <w:rPr>
          <w:rFonts w:ascii="Calibri" w:hAnsi="Calibri"/>
          <w:i/>
          <w:iCs/>
          <w:color w:val="FF0000"/>
          <w:sz w:val="20"/>
        </w:rPr>
        <w:t xml:space="preserve">Solo se debe completar cuando se prevea que la participación / transferencia futura sea necesaria para la </w:t>
      </w:r>
      <w:r w:rsidR="003A5F7A">
        <w:rPr>
          <w:rFonts w:ascii="Calibri" w:hAnsi="Calibri"/>
          <w:i/>
          <w:iCs/>
          <w:color w:val="FF0000"/>
          <w:sz w:val="20"/>
        </w:rPr>
        <w:t>ejecución</w:t>
      </w:r>
      <w:r w:rsidR="00223E3F">
        <w:rPr>
          <w:rFonts w:ascii="Calibri" w:hAnsi="Calibri"/>
          <w:i/>
          <w:iCs/>
          <w:color w:val="FF0000"/>
          <w:sz w:val="20"/>
        </w:rPr>
        <w:t xml:space="preserve"> del proyecto y esté autorizada por ACNUR. Para desarrollarse conjuntamente por ACNUR con un </w:t>
      </w:r>
      <w:r w:rsidR="00096E9F">
        <w:rPr>
          <w:rFonts w:ascii="Calibri" w:hAnsi="Calibri"/>
          <w:i/>
          <w:iCs/>
          <w:color w:val="FF0000"/>
          <w:sz w:val="20"/>
        </w:rPr>
        <w:t>socio</w:t>
      </w:r>
      <w:r w:rsidR="00223E3F">
        <w:rPr>
          <w:rFonts w:ascii="Calibri" w:hAnsi="Calibri"/>
          <w:i/>
          <w:iCs/>
          <w:color w:val="FF0000"/>
          <w:sz w:val="20"/>
        </w:rPr>
        <w:t>.&gt;</w:t>
      </w:r>
    </w:p>
    <w:p w14:paraId="29F47BAD" w14:textId="77777777" w:rsidR="00400874" w:rsidRPr="00615194" w:rsidRDefault="00223E3F">
      <w:pPr>
        <w:pStyle w:val="ListParagraph"/>
        <w:ind w:left="294"/>
        <w:jc w:val="both"/>
        <w:rPr>
          <w:i/>
          <w:color w:val="A6A6A6" w:themeColor="background1" w:themeShade="A6"/>
          <w:lang w:val="en-US"/>
        </w:rPr>
      </w:pPr>
      <w:r w:rsidRPr="00615194">
        <w:rPr>
          <w:i/>
          <w:color w:val="A6A6A6" w:themeColor="background1" w:themeShade="A6"/>
          <w:lang w:val="en-US"/>
        </w:rPr>
        <w:lastRenderedPageBreak/>
        <w:t xml:space="preserve">Especifique los destinatarios de los datos personales (subcontratistas y/o terceros), las razones para compartir / transferir, los acuerdos contractuales existentes y las obligaciones de los terceros en relación con las medidas de seguridad de datos. Si surge la necesidad de compartir datos con un tercero durante el término del Acuerdo, el ACNUR debe aprobar dicha transferencia por escrito y este Anexo debe modificarse en consecuencia. </w:t>
      </w:r>
      <w:r w:rsidR="00777DCD" w:rsidRPr="00615194">
        <w:rPr>
          <w:i/>
          <w:color w:val="A6A6A6" w:themeColor="background1" w:themeShade="A6"/>
          <w:lang w:val="en-US"/>
        </w:rPr>
        <w:t xml:space="preserve"> (Correspondencia</w:t>
      </w:r>
      <w:r w:rsidRPr="00615194">
        <w:rPr>
          <w:i/>
          <w:color w:val="A6A6A6" w:themeColor="background1" w:themeShade="A6"/>
          <w:lang w:val="en-US"/>
        </w:rPr>
        <w:t xml:space="preserve"> relevante a </w:t>
      </w:r>
      <w:r w:rsidR="00777DCD" w:rsidRPr="00615194">
        <w:rPr>
          <w:i/>
          <w:color w:val="A6A6A6" w:themeColor="background1" w:themeShade="A6"/>
          <w:lang w:val="en-US"/>
        </w:rPr>
        <w:t>incluirse</w:t>
      </w:r>
      <w:r w:rsidRPr="00615194">
        <w:rPr>
          <w:i/>
          <w:color w:val="A6A6A6" w:themeColor="background1" w:themeShade="A6"/>
          <w:lang w:val="en-US"/>
        </w:rPr>
        <w:t xml:space="preserve"> en el Archivo del Proyecto). </w:t>
      </w:r>
    </w:p>
    <w:p w14:paraId="23396355" w14:textId="77777777" w:rsidR="00400874" w:rsidRDefault="00223E3F">
      <w:pPr>
        <w:pStyle w:val="ListParagraph"/>
        <w:ind w:left="294"/>
        <w:rPr>
          <w:i/>
          <w:color w:val="0070C0"/>
        </w:rPr>
      </w:pPr>
      <w:r>
        <w:rPr>
          <w:i/>
          <w:color w:val="0070C0"/>
        </w:rPr>
        <w:t xml:space="preserve">Referencias: </w:t>
      </w:r>
      <w:r w:rsidR="00777DCD">
        <w:rPr>
          <w:i/>
          <w:color w:val="0070C0"/>
        </w:rPr>
        <w:t>Párrafo</w:t>
      </w:r>
      <w:r>
        <w:rPr>
          <w:i/>
          <w:color w:val="0070C0"/>
        </w:rPr>
        <w:t xml:space="preserve">. 5.2 DPP; </w:t>
      </w:r>
      <w:r w:rsidR="00EA032B" w:rsidRPr="00EA032B">
        <w:rPr>
          <w:i/>
          <w:color w:val="0070C0"/>
        </w:rPr>
        <w:t>Artículo 19.</w:t>
      </w:r>
      <w:r w:rsidR="00EA032B">
        <w:rPr>
          <w:i/>
          <w:color w:val="0070C0"/>
        </w:rPr>
        <w:t>5</w:t>
      </w:r>
      <w:r w:rsidR="00EA032B" w:rsidRPr="00EA032B">
        <w:rPr>
          <w:i/>
          <w:color w:val="0070C0"/>
        </w:rPr>
        <w:t xml:space="preserve"> del Condiciones Generales del Contrato</w:t>
      </w:r>
      <w:r>
        <w:rPr>
          <w:i/>
          <w:color w:val="0070C0"/>
        </w:rPr>
        <w:t>.</w:t>
      </w:r>
    </w:p>
    <w:p w14:paraId="6BA4724B" w14:textId="77777777" w:rsidR="00400874" w:rsidRDefault="00400874">
      <w:pPr>
        <w:pStyle w:val="ListParagraph"/>
        <w:ind w:left="294"/>
        <w:rPr>
          <w:i/>
          <w:color w:val="0070C0"/>
        </w:rPr>
      </w:pPr>
    </w:p>
    <w:p w14:paraId="21BD476C" w14:textId="77777777" w:rsidR="00400874" w:rsidRPr="00E94B7F" w:rsidRDefault="00400874">
      <w:pPr>
        <w:pStyle w:val="ListParagraph"/>
        <w:ind w:left="294"/>
        <w:rPr>
          <w:i/>
          <w:color w:val="0070C0"/>
        </w:rPr>
      </w:pPr>
      <w:bookmarkStart w:id="0" w:name="_GoBack"/>
      <w:bookmarkEnd w:id="0"/>
    </w:p>
    <w:p w14:paraId="7569B460" w14:textId="77777777" w:rsidR="00400874" w:rsidRDefault="00223E3F">
      <w:pPr>
        <w:pStyle w:val="ListParagraph"/>
        <w:numPr>
          <w:ilvl w:val="0"/>
          <w:numId w:val="1"/>
        </w:numPr>
        <w:ind w:left="294"/>
        <w:rPr>
          <w:b/>
        </w:rPr>
      </w:pPr>
      <w:r>
        <w:rPr>
          <w:b/>
        </w:rPr>
        <w:t>Acuerdos de terminación</w:t>
      </w:r>
    </w:p>
    <w:p w14:paraId="7339C547" w14:textId="77777777" w:rsidR="00400874" w:rsidRDefault="00D61086">
      <w:pPr>
        <w:pStyle w:val="ListParagraph"/>
        <w:spacing w:after="0"/>
        <w:ind w:left="294"/>
        <w:jc w:val="both"/>
        <w:rPr>
          <w:rFonts w:ascii="Calibri" w:hAnsi="Calibri"/>
          <w:iCs/>
          <w:color w:val="FF0000"/>
          <w:sz w:val="20"/>
        </w:rPr>
      </w:pPr>
      <w:r>
        <w:rPr>
          <w:rFonts w:ascii="Calibri" w:hAnsi="Calibri"/>
          <w:iCs/>
          <w:color w:val="FF0000"/>
          <w:sz w:val="20"/>
        </w:rPr>
        <w:t xml:space="preserve">&lt; </w:t>
      </w:r>
      <w:r>
        <w:rPr>
          <w:rFonts w:ascii="Calibri" w:hAnsi="Calibri"/>
          <w:i/>
          <w:iCs/>
          <w:color w:val="FF0000"/>
          <w:sz w:val="20"/>
        </w:rPr>
        <w:t>Esta</w:t>
      </w:r>
      <w:r w:rsidR="00777DCD">
        <w:rPr>
          <w:rFonts w:ascii="Calibri" w:hAnsi="Calibri"/>
          <w:i/>
          <w:iCs/>
          <w:color w:val="FF0000"/>
          <w:sz w:val="20"/>
        </w:rPr>
        <w:t xml:space="preserve"> sección no es obligatoria </w:t>
      </w:r>
      <w:r w:rsidR="00223E3F">
        <w:rPr>
          <w:rFonts w:ascii="Calibri" w:hAnsi="Calibri"/>
          <w:i/>
          <w:iCs/>
          <w:color w:val="FF0000"/>
          <w:sz w:val="20"/>
        </w:rPr>
        <w:t xml:space="preserve">Solo debe completarse si el </w:t>
      </w:r>
      <w:r>
        <w:rPr>
          <w:rFonts w:ascii="Calibri" w:hAnsi="Calibri"/>
          <w:i/>
          <w:iCs/>
          <w:color w:val="FF0000"/>
          <w:sz w:val="20"/>
        </w:rPr>
        <w:t xml:space="preserve">Socio </w:t>
      </w:r>
      <w:r w:rsidR="00223E3F">
        <w:rPr>
          <w:rFonts w:ascii="Calibri" w:hAnsi="Calibri"/>
          <w:i/>
          <w:iCs/>
          <w:color w:val="FF0000"/>
          <w:sz w:val="20"/>
        </w:rPr>
        <w:t>pretende una desviación de la obligación de devolver y/o eliminar datos personales al final del proyecto.&gt;</w:t>
      </w:r>
    </w:p>
    <w:p w14:paraId="0A521F1F" w14:textId="77777777" w:rsidR="00400874" w:rsidRPr="00615194" w:rsidRDefault="00223E3F">
      <w:pPr>
        <w:pStyle w:val="ListParagraph"/>
        <w:ind w:left="294"/>
        <w:jc w:val="both"/>
        <w:rPr>
          <w:i/>
          <w:color w:val="A6A6A6" w:themeColor="background1" w:themeShade="A6"/>
          <w:lang w:val="en-US"/>
        </w:rPr>
      </w:pPr>
      <w:r w:rsidRPr="00615194">
        <w:rPr>
          <w:i/>
          <w:color w:val="A6A6A6" w:themeColor="background1" w:themeShade="A6"/>
          <w:lang w:val="en-US"/>
        </w:rPr>
        <w:t xml:space="preserve">Indique las razones por las cuales el </w:t>
      </w:r>
      <w:r w:rsidR="00D61086" w:rsidRPr="00615194">
        <w:rPr>
          <w:i/>
          <w:color w:val="A6A6A6" w:themeColor="background1" w:themeShade="A6"/>
          <w:lang w:val="en-US"/>
        </w:rPr>
        <w:t xml:space="preserve">Socio </w:t>
      </w:r>
      <w:r w:rsidRPr="00615194">
        <w:rPr>
          <w:i/>
          <w:color w:val="A6A6A6" w:themeColor="background1" w:themeShade="A6"/>
          <w:lang w:val="en-US"/>
        </w:rPr>
        <w:t xml:space="preserve">tiene la intención de retener los datos personales después de </w:t>
      </w:r>
      <w:r w:rsidR="00777DCD" w:rsidRPr="00615194">
        <w:rPr>
          <w:i/>
          <w:color w:val="A6A6A6" w:themeColor="background1" w:themeShade="A6"/>
          <w:lang w:val="en-US"/>
        </w:rPr>
        <w:t>la finalización</w:t>
      </w:r>
      <w:r w:rsidRPr="00615194">
        <w:rPr>
          <w:i/>
          <w:color w:val="A6A6A6" w:themeColor="background1" w:themeShade="A6"/>
          <w:lang w:val="en-US"/>
        </w:rPr>
        <w:t xml:space="preserve"> del proyecto y las medidas que deben tomarse a tal efecto, incluida la forma de recopilar el consentimiento de los interesados e informarles en consecuencia.</w:t>
      </w:r>
    </w:p>
    <w:p w14:paraId="0B809226" w14:textId="77777777" w:rsidR="00400874" w:rsidRDefault="00223E3F">
      <w:pPr>
        <w:pStyle w:val="ListParagraph"/>
        <w:ind w:left="294"/>
        <w:rPr>
          <w:i/>
          <w:color w:val="0070C0"/>
        </w:rPr>
      </w:pPr>
      <w:r>
        <w:rPr>
          <w:i/>
          <w:color w:val="0070C0"/>
        </w:rPr>
        <w:t xml:space="preserve">Referencias: </w:t>
      </w:r>
      <w:r w:rsidR="00777DCD">
        <w:rPr>
          <w:i/>
          <w:color w:val="0070C0"/>
        </w:rPr>
        <w:t>Párrafo</w:t>
      </w:r>
      <w:r>
        <w:rPr>
          <w:i/>
          <w:color w:val="0070C0"/>
        </w:rPr>
        <w:t xml:space="preserve">. 5.5 DPP; </w:t>
      </w:r>
      <w:r w:rsidR="00777DCD">
        <w:rPr>
          <w:i/>
          <w:color w:val="0070C0"/>
        </w:rPr>
        <w:t>Párrafo</w:t>
      </w:r>
      <w:r>
        <w:rPr>
          <w:i/>
          <w:color w:val="0070C0"/>
        </w:rPr>
        <w:t xml:space="preserve">. 10.1.2 DPG y el </w:t>
      </w:r>
      <w:r w:rsidR="00EA032B" w:rsidRPr="00EA032B">
        <w:rPr>
          <w:i/>
          <w:color w:val="0070C0"/>
        </w:rPr>
        <w:t>Artículo 19.</w:t>
      </w:r>
      <w:r w:rsidR="00EA032B">
        <w:rPr>
          <w:i/>
          <w:color w:val="0070C0"/>
        </w:rPr>
        <w:t>8</w:t>
      </w:r>
      <w:r w:rsidR="00EA032B" w:rsidRPr="00EA032B">
        <w:rPr>
          <w:i/>
          <w:color w:val="0070C0"/>
        </w:rPr>
        <w:t xml:space="preserve"> del Condiciones Generales del Contrato</w:t>
      </w:r>
      <w:r>
        <w:rPr>
          <w:i/>
          <w:color w:val="0070C0"/>
        </w:rPr>
        <w:t xml:space="preserve">. </w:t>
      </w:r>
    </w:p>
    <w:sectPr w:rsidR="00400874">
      <w:headerReference w:type="default" r:id="rId11"/>
      <w:footerReference w:type="default" r:id="rId12"/>
      <w:pgSz w:w="12240" w:h="15840"/>
      <w:pgMar w:top="1440" w:right="1440" w:bottom="113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54F8C" w14:textId="77777777" w:rsidR="003F3354" w:rsidRDefault="003F3354">
      <w:pPr>
        <w:spacing w:after="0" w:line="240" w:lineRule="auto"/>
      </w:pPr>
      <w:r>
        <w:separator/>
      </w:r>
    </w:p>
  </w:endnote>
  <w:endnote w:type="continuationSeparator" w:id="0">
    <w:p w14:paraId="67DD694A" w14:textId="77777777" w:rsidR="003F3354" w:rsidRDefault="003F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640016"/>
      <w:docPartObj>
        <w:docPartGallery w:val="Page Numbers (Bottom of Page)"/>
        <w:docPartUnique/>
      </w:docPartObj>
    </w:sdtPr>
    <w:sdtEndPr>
      <w:rPr>
        <w:noProof/>
      </w:rPr>
    </w:sdtEndPr>
    <w:sdtContent>
      <w:p w14:paraId="12A7C1FC" w14:textId="77777777" w:rsidR="00400874" w:rsidRDefault="00223E3F">
        <w:pPr>
          <w:pStyle w:val="Footer"/>
          <w:jc w:val="right"/>
        </w:pPr>
        <w:r>
          <w:fldChar w:fldCharType="begin"/>
        </w:r>
        <w:r>
          <w:instrText xml:space="preserve"> PAGE   \* MERGEFORMAT </w:instrText>
        </w:r>
        <w:r>
          <w:fldChar w:fldCharType="separate"/>
        </w:r>
        <w:r w:rsidR="00F428D1">
          <w:rPr>
            <w:noProof/>
          </w:rPr>
          <w:t>3</w:t>
        </w:r>
        <w:r>
          <w:rPr>
            <w:noProof/>
          </w:rPr>
          <w:fldChar w:fldCharType="end"/>
        </w:r>
      </w:p>
    </w:sdtContent>
  </w:sdt>
  <w:p w14:paraId="48C98ABB" w14:textId="77777777" w:rsidR="00400874" w:rsidRDefault="00400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4F1F8" w14:textId="77777777" w:rsidR="003F3354" w:rsidRDefault="003F3354">
      <w:pPr>
        <w:spacing w:after="0" w:line="240" w:lineRule="auto"/>
      </w:pPr>
      <w:r>
        <w:separator/>
      </w:r>
    </w:p>
  </w:footnote>
  <w:footnote w:type="continuationSeparator" w:id="0">
    <w:p w14:paraId="1BE0580F" w14:textId="77777777" w:rsidR="003F3354" w:rsidRDefault="003F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C651" w14:textId="77777777" w:rsidR="00400874" w:rsidRDefault="00223E3F">
    <w:pPr>
      <w:pStyle w:val="Header"/>
    </w:pPr>
    <w:r>
      <w:rPr>
        <w:noProof/>
        <w:lang w:val="en-US"/>
      </w:rPr>
      <w:drawing>
        <wp:anchor distT="0" distB="0" distL="114300" distR="114300" simplePos="0" relativeHeight="251659264" behindDoc="0" locked="0" layoutInCell="1" allowOverlap="1" wp14:anchorId="6DBCF6A6" wp14:editId="054F1FCA">
          <wp:simplePos x="0" y="0"/>
          <wp:positionH relativeFrom="margin">
            <wp:posOffset>-414655</wp:posOffset>
          </wp:positionH>
          <wp:positionV relativeFrom="margin">
            <wp:posOffset>-2157730</wp:posOffset>
          </wp:positionV>
          <wp:extent cx="2439035"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p>
  <w:p w14:paraId="118EF96E" w14:textId="77777777" w:rsidR="00400874" w:rsidRDefault="00223E3F">
    <w:pPr>
      <w:pStyle w:val="Header"/>
    </w:pPr>
    <w:r>
      <w:rPr>
        <w:noProof/>
        <w:lang w:val="en-US"/>
      </w:rPr>
      <mc:AlternateContent>
        <mc:Choice Requires="wps">
          <w:drawing>
            <wp:anchor distT="0" distB="0" distL="114300" distR="114300" simplePos="0" relativeHeight="251658240" behindDoc="0" locked="0" layoutInCell="1" allowOverlap="1" wp14:anchorId="478347FF" wp14:editId="126DE3A5">
              <wp:simplePos x="0" y="0"/>
              <wp:positionH relativeFrom="column">
                <wp:posOffset>5414010</wp:posOffset>
              </wp:positionH>
              <wp:positionV relativeFrom="paragraph">
                <wp:posOffset>13970</wp:posOffset>
              </wp:positionV>
              <wp:extent cx="1162050" cy="542925"/>
              <wp:effectExtent l="0" t="0" r="19050" b="285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542925"/>
                      </a:xfrm>
                      <a:prstGeom prst="rect">
                        <a:avLst/>
                      </a:prstGeom>
                      <a:solidFill>
                        <a:sysClr val="window" lastClr="FFFFFF"/>
                      </a:solidFill>
                      <a:ln w="6350">
                        <a:solidFill>
                          <a:prstClr val="black"/>
                        </a:solidFill>
                      </a:ln>
                      <a:effectLst/>
                    </wps:spPr>
                    <wps:txbx>
                      <w:txbxContent>
                        <w:p w14:paraId="1CC2FAE6" w14:textId="77777777" w:rsidR="00400874" w:rsidRDefault="00223E3F">
                          <w:r>
                            <w:t xml:space="preserve">Logotipo o sello del </w:t>
                          </w:r>
                          <w:r w:rsidR="00D61086">
                            <w:t>Socio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8347FF" id="_x0000_t202" coordsize="21600,21600" o:spt="202" path="m,l,21600r21600,l21600,xe">
              <v:stroke joinstyle="miter"/>
              <v:path gradientshapeok="t" o:connecttype="rect"/>
            </v:shapetype>
            <v:shape id="Text Box 33" o:spid="_x0000_s1026" type="#_x0000_t202" style="position:absolute;margin-left:426.3pt;margin-top:1.1pt;width:91.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" fillcolor="window" strokeweight=".5pt">
              <v:path arrowok="t"/>
              <v:textbox>
                <w:txbxContent>
                  <w:p w14:paraId="1CC2FAE6" w14:textId="77777777" w:rsidR="00400874" w:rsidRDefault="00223E3F">
                    <w:r>
                      <w:t xml:space="preserve">Logotipo o sello del </w:t>
                    </w:r>
                    <w:r w:rsidR="00D61086">
                      <w:t>Socio</w:t>
                    </w:r>
                  </w:p>
                </w:txbxContent>
              </v:textbox>
            </v:shape>
          </w:pict>
        </mc:Fallback>
      </mc:AlternateContent>
    </w:r>
  </w:p>
  <w:p w14:paraId="3503A8EF" w14:textId="77777777" w:rsidR="00400874" w:rsidRDefault="00400874">
    <w:pPr>
      <w:pStyle w:val="Header"/>
    </w:pPr>
  </w:p>
  <w:p w14:paraId="6874A699" w14:textId="77777777" w:rsidR="00400874" w:rsidRDefault="00400874">
    <w:pPr>
      <w:pStyle w:val="Header"/>
    </w:pPr>
  </w:p>
  <w:p w14:paraId="5E282A40" w14:textId="77777777" w:rsidR="00400874" w:rsidRDefault="00223E3F">
    <w:pPr>
      <w:jc w:val="right"/>
    </w:pPr>
    <w:r>
      <w:tab/>
    </w:r>
    <w:r>
      <w:tab/>
    </w:r>
  </w:p>
  <w:p w14:paraId="45E9BDF4" w14:textId="77777777" w:rsidR="00400874" w:rsidRDefault="00223E3F" w:rsidP="00F428D1">
    <w:pPr>
      <w:spacing w:after="0"/>
      <w:jc w:val="right"/>
      <w:rPr>
        <w:rFonts w:ascii="Calibri" w:hAnsi="Calibri"/>
        <w:b/>
      </w:rPr>
    </w:pPr>
    <w:r>
      <w:rPr>
        <w:rFonts w:ascii="Calibri" w:hAnsi="Calibri"/>
        <w:b/>
      </w:rPr>
      <w:t>Símbolo del Acuerdo: &lt;insertar datos del PA &gt;</w:t>
    </w:r>
  </w:p>
  <w:p w14:paraId="33291847" w14:textId="77777777" w:rsidR="00400874" w:rsidRPr="00872660" w:rsidRDefault="00223E3F" w:rsidP="00F428D1">
    <w:pPr>
      <w:spacing w:after="0"/>
      <w:jc w:val="right"/>
      <w:rPr>
        <w:rFonts w:ascii="Calibri" w:hAnsi="Calibri"/>
        <w:b/>
      </w:rPr>
    </w:pPr>
    <w:r>
      <w:rPr>
        <w:rFonts w:ascii="Calibri" w:hAnsi="Calibri"/>
        <w:b/>
      </w:rPr>
      <w:t xml:space="preserve">Enmienda </w:t>
    </w:r>
    <w:r w:rsidRPr="00872660">
      <w:rPr>
        <w:rFonts w:ascii="Calibri" w:hAnsi="Calibri"/>
        <w:b/>
      </w:rPr>
      <w:t>del Acuerdo, si la hubiera &lt;#&gt;</w:t>
    </w:r>
  </w:p>
  <w:p w14:paraId="4A951F14" w14:textId="77777777" w:rsidR="00400874" w:rsidRDefault="00223E3F" w:rsidP="00F428D1">
    <w:pPr>
      <w:spacing w:after="0"/>
      <w:jc w:val="right"/>
      <w:rPr>
        <w:rFonts w:ascii="Calibri" w:hAnsi="Calibri"/>
      </w:rPr>
    </w:pPr>
    <w:r w:rsidRPr="005C6753">
      <w:rPr>
        <w:rFonts w:ascii="Calibri" w:hAnsi="Calibri"/>
        <w:b/>
        <w:highlight w:val="yellow"/>
      </w:rPr>
      <w:t xml:space="preserve">Tratamiento y </w:t>
    </w:r>
    <w:r w:rsidR="00A76D6D" w:rsidRPr="005C6753">
      <w:rPr>
        <w:rFonts w:ascii="Calibri" w:hAnsi="Calibri"/>
        <w:b/>
        <w:highlight w:val="yellow"/>
      </w:rPr>
      <w:t>P</w:t>
    </w:r>
    <w:r w:rsidRPr="005C6753">
      <w:rPr>
        <w:rFonts w:ascii="Calibri" w:hAnsi="Calibri"/>
        <w:b/>
        <w:highlight w:val="yellow"/>
      </w:rPr>
      <w:t xml:space="preserve">rotección de </w:t>
    </w:r>
    <w:r w:rsidR="00A76D6D" w:rsidRPr="005C6753">
      <w:rPr>
        <w:rFonts w:ascii="Calibri" w:hAnsi="Calibri"/>
        <w:b/>
        <w:highlight w:val="yellow"/>
      </w:rPr>
      <w:t>Datos Personales de</w:t>
    </w:r>
    <w:r w:rsidR="00777DCD" w:rsidRPr="005C6753">
      <w:rPr>
        <w:rFonts w:ascii="Calibri" w:hAnsi="Calibri"/>
        <w:b/>
        <w:highlight w:val="yellow"/>
      </w:rPr>
      <w:t xml:space="preserve"> </w:t>
    </w:r>
    <w:r w:rsidR="00A76D6D" w:rsidRPr="005C6753">
      <w:rPr>
        <w:rFonts w:ascii="Calibri" w:hAnsi="Calibri"/>
        <w:b/>
        <w:highlight w:val="yellow"/>
      </w:rPr>
      <w:t>Personas de I</w:t>
    </w:r>
    <w:r w:rsidRPr="005C6753">
      <w:rPr>
        <w:rFonts w:ascii="Calibri" w:hAnsi="Calibri"/>
        <w:b/>
        <w:highlight w:val="yellow"/>
      </w:rPr>
      <w:t xml:space="preserve">nterés: Anexo </w:t>
    </w:r>
    <w:r w:rsidR="00EA032B">
      <w:rPr>
        <w:rFonts w:ascii="Calibri" w:hAnsi="Calibri"/>
        <w:b/>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2430"/>
    <w:multiLevelType w:val="hybridMultilevel"/>
    <w:tmpl w:val="D3923BC2"/>
    <w:lvl w:ilvl="0" w:tplc="5E80D3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FD4751"/>
    <w:multiLevelType w:val="hybridMultilevel"/>
    <w:tmpl w:val="65B8B4D4"/>
    <w:lvl w:ilvl="0" w:tplc="62D266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EB3415"/>
    <w:multiLevelType w:val="hybridMultilevel"/>
    <w:tmpl w:val="56FC5DB8"/>
    <w:lvl w:ilvl="0" w:tplc="62D266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0F584F"/>
    <w:multiLevelType w:val="hybridMultilevel"/>
    <w:tmpl w:val="115072D0"/>
    <w:lvl w:ilvl="0" w:tplc="634CD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961B27"/>
    <w:multiLevelType w:val="hybridMultilevel"/>
    <w:tmpl w:val="564068DE"/>
    <w:lvl w:ilvl="0" w:tplc="B0EA6CA4">
      <w:start w:val="1"/>
      <w:numFmt w:val="bullet"/>
      <w:lvlText w:val="-"/>
      <w:lvlJc w:val="left"/>
      <w:pPr>
        <w:ind w:left="1014" w:hanging="360"/>
      </w:pPr>
      <w:rPr>
        <w:rFonts w:ascii="Calibri" w:eastAsiaTheme="minorHAnsi" w:hAnsi="Calibri" w:cs="Calibri" w:hint="default"/>
      </w:rPr>
    </w:lvl>
    <w:lvl w:ilvl="1" w:tplc="04090003">
      <w:start w:val="1"/>
      <w:numFmt w:val="bullet"/>
      <w:lvlText w:val="o"/>
      <w:lvlJc w:val="left"/>
      <w:pPr>
        <w:ind w:left="1734" w:hanging="360"/>
      </w:pPr>
      <w:rPr>
        <w:rFonts w:ascii="Courier New" w:hAnsi="Courier New" w:cs="Courier New" w:hint="default"/>
      </w:rPr>
    </w:lvl>
    <w:lvl w:ilvl="2" w:tplc="04090005">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5" w15:restartNumberingAfterBreak="0">
    <w:nsid w:val="61E722FA"/>
    <w:multiLevelType w:val="hybridMultilevel"/>
    <w:tmpl w:val="F334D426"/>
    <w:lvl w:ilvl="0" w:tplc="B0EA6CA4">
      <w:start w:val="1"/>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550F7"/>
    <w:multiLevelType w:val="multilevel"/>
    <w:tmpl w:val="A64E8506"/>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AAC59BC"/>
    <w:multiLevelType w:val="hybridMultilevel"/>
    <w:tmpl w:val="222AF4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A24C12"/>
    <w:multiLevelType w:val="multilevel"/>
    <w:tmpl w:val="159A2638"/>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lang w:val="es-C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6"/>
  </w:num>
  <w:num w:numId="4">
    <w:abstractNumId w:val="4"/>
  </w:num>
  <w:num w:numId="5">
    <w:abstractNumId w:val="7"/>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E6"/>
    <w:rsid w:val="00031783"/>
    <w:rsid w:val="00082882"/>
    <w:rsid w:val="000874AA"/>
    <w:rsid w:val="00096E9F"/>
    <w:rsid w:val="000C756C"/>
    <w:rsid w:val="000D3572"/>
    <w:rsid w:val="0011458B"/>
    <w:rsid w:val="001322BD"/>
    <w:rsid w:val="001713BC"/>
    <w:rsid w:val="00177D16"/>
    <w:rsid w:val="001B307F"/>
    <w:rsid w:val="001B5D9C"/>
    <w:rsid w:val="001D6AD8"/>
    <w:rsid w:val="00201F58"/>
    <w:rsid w:val="00223E3F"/>
    <w:rsid w:val="002306BE"/>
    <w:rsid w:val="00253E5C"/>
    <w:rsid w:val="0028516B"/>
    <w:rsid w:val="002D7E09"/>
    <w:rsid w:val="00322AB2"/>
    <w:rsid w:val="0032474F"/>
    <w:rsid w:val="003A5F7A"/>
    <w:rsid w:val="003B5609"/>
    <w:rsid w:val="003C7276"/>
    <w:rsid w:val="003E6FDD"/>
    <w:rsid w:val="003F3354"/>
    <w:rsid w:val="003F3F3C"/>
    <w:rsid w:val="003F546E"/>
    <w:rsid w:val="00400874"/>
    <w:rsid w:val="00410864"/>
    <w:rsid w:val="004310D8"/>
    <w:rsid w:val="00435D61"/>
    <w:rsid w:val="00442EAA"/>
    <w:rsid w:val="00456660"/>
    <w:rsid w:val="00462DE2"/>
    <w:rsid w:val="00484203"/>
    <w:rsid w:val="0049027B"/>
    <w:rsid w:val="00526775"/>
    <w:rsid w:val="005A4D9D"/>
    <w:rsid w:val="005C6753"/>
    <w:rsid w:val="005F0374"/>
    <w:rsid w:val="005F14A2"/>
    <w:rsid w:val="006034C5"/>
    <w:rsid w:val="00615194"/>
    <w:rsid w:val="006271D6"/>
    <w:rsid w:val="006426E6"/>
    <w:rsid w:val="006607A5"/>
    <w:rsid w:val="006875DB"/>
    <w:rsid w:val="00694BE5"/>
    <w:rsid w:val="006C4AB5"/>
    <w:rsid w:val="006E065E"/>
    <w:rsid w:val="00723BCB"/>
    <w:rsid w:val="00735E3C"/>
    <w:rsid w:val="00751616"/>
    <w:rsid w:val="00777DCD"/>
    <w:rsid w:val="007B4413"/>
    <w:rsid w:val="007B570A"/>
    <w:rsid w:val="007C6598"/>
    <w:rsid w:val="007F0DBA"/>
    <w:rsid w:val="007F4ABC"/>
    <w:rsid w:val="00812038"/>
    <w:rsid w:val="00832BB1"/>
    <w:rsid w:val="00872660"/>
    <w:rsid w:val="0088365E"/>
    <w:rsid w:val="008E44DB"/>
    <w:rsid w:val="008F195C"/>
    <w:rsid w:val="009076AC"/>
    <w:rsid w:val="00907C21"/>
    <w:rsid w:val="009206C8"/>
    <w:rsid w:val="009304D1"/>
    <w:rsid w:val="0094253A"/>
    <w:rsid w:val="00965EFF"/>
    <w:rsid w:val="00986B24"/>
    <w:rsid w:val="009B336D"/>
    <w:rsid w:val="009B7E3E"/>
    <w:rsid w:val="009C2C6F"/>
    <w:rsid w:val="009C54B9"/>
    <w:rsid w:val="009D2C1E"/>
    <w:rsid w:val="009D4DC2"/>
    <w:rsid w:val="00A1040A"/>
    <w:rsid w:val="00A20F65"/>
    <w:rsid w:val="00A36670"/>
    <w:rsid w:val="00A76453"/>
    <w:rsid w:val="00A76D6D"/>
    <w:rsid w:val="00A776F6"/>
    <w:rsid w:val="00AC6D0D"/>
    <w:rsid w:val="00AD4C4B"/>
    <w:rsid w:val="00B0018E"/>
    <w:rsid w:val="00B111A5"/>
    <w:rsid w:val="00B56854"/>
    <w:rsid w:val="00B71CC1"/>
    <w:rsid w:val="00B7389F"/>
    <w:rsid w:val="00BA406A"/>
    <w:rsid w:val="00BB3511"/>
    <w:rsid w:val="00BB497E"/>
    <w:rsid w:val="00BD39A5"/>
    <w:rsid w:val="00BF7B98"/>
    <w:rsid w:val="00C578FF"/>
    <w:rsid w:val="00C84740"/>
    <w:rsid w:val="00C91169"/>
    <w:rsid w:val="00CB0CD8"/>
    <w:rsid w:val="00CB62AE"/>
    <w:rsid w:val="00CC16F7"/>
    <w:rsid w:val="00CC59E2"/>
    <w:rsid w:val="00CE07F1"/>
    <w:rsid w:val="00CE1E8B"/>
    <w:rsid w:val="00D20517"/>
    <w:rsid w:val="00D35974"/>
    <w:rsid w:val="00D61086"/>
    <w:rsid w:val="00D7004B"/>
    <w:rsid w:val="00DC6A0A"/>
    <w:rsid w:val="00DF78A9"/>
    <w:rsid w:val="00E05825"/>
    <w:rsid w:val="00E16B2F"/>
    <w:rsid w:val="00E41C66"/>
    <w:rsid w:val="00E4404E"/>
    <w:rsid w:val="00E55C8C"/>
    <w:rsid w:val="00E65E29"/>
    <w:rsid w:val="00E91CB4"/>
    <w:rsid w:val="00E94B7F"/>
    <w:rsid w:val="00E9506C"/>
    <w:rsid w:val="00EA032B"/>
    <w:rsid w:val="00EC0A7D"/>
    <w:rsid w:val="00EE76DF"/>
    <w:rsid w:val="00F15ADA"/>
    <w:rsid w:val="00F2260E"/>
    <w:rsid w:val="00F428D1"/>
    <w:rsid w:val="00F7007C"/>
    <w:rsid w:val="00F74430"/>
    <w:rsid w:val="00F7553C"/>
    <w:rsid w:val="00FB7E1A"/>
    <w:rsid w:val="00FF58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BC48CB"/>
  <w15:chartTrackingRefBased/>
  <w15:docId w15:val="{38F36E52-17A2-42A4-9790-2425DBF2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Colorful List - Accent 11,Bullet 1,Bullet Points,MAIN CONTENT,Bullet List,FooterText,Colorful List Accent 1"/>
    <w:basedOn w:val="Normal"/>
    <w:link w:val="ListParagraphChar"/>
    <w:uiPriority w:val="34"/>
    <w:qFormat/>
    <w:rsid w:val="006426E6"/>
    <w:pPr>
      <w:ind w:left="720"/>
      <w:contextualSpacing/>
    </w:pPr>
  </w:style>
  <w:style w:type="paragraph" w:styleId="Header">
    <w:name w:val="header"/>
    <w:basedOn w:val="Normal"/>
    <w:link w:val="HeaderChar"/>
    <w:uiPriority w:val="99"/>
    <w:unhideWhenUsed/>
    <w:rsid w:val="00D20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517"/>
  </w:style>
  <w:style w:type="paragraph" w:styleId="Footer">
    <w:name w:val="footer"/>
    <w:basedOn w:val="Normal"/>
    <w:link w:val="FooterChar"/>
    <w:uiPriority w:val="99"/>
    <w:unhideWhenUsed/>
    <w:rsid w:val="00D20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517"/>
  </w:style>
  <w:style w:type="character" w:styleId="CommentReference">
    <w:name w:val="annotation reference"/>
    <w:basedOn w:val="DefaultParagraphFont"/>
    <w:uiPriority w:val="99"/>
    <w:semiHidden/>
    <w:unhideWhenUsed/>
    <w:rsid w:val="001B5D9C"/>
    <w:rPr>
      <w:sz w:val="16"/>
      <w:szCs w:val="16"/>
    </w:rPr>
  </w:style>
  <w:style w:type="paragraph" w:styleId="CommentText">
    <w:name w:val="annotation text"/>
    <w:basedOn w:val="Normal"/>
    <w:link w:val="CommentTextChar"/>
    <w:uiPriority w:val="99"/>
    <w:semiHidden/>
    <w:unhideWhenUsed/>
    <w:rsid w:val="001B5D9C"/>
    <w:pPr>
      <w:spacing w:line="240" w:lineRule="auto"/>
    </w:pPr>
    <w:rPr>
      <w:sz w:val="20"/>
      <w:szCs w:val="20"/>
    </w:rPr>
  </w:style>
  <w:style w:type="character" w:customStyle="1" w:styleId="CommentTextChar">
    <w:name w:val="Comment Text Char"/>
    <w:basedOn w:val="DefaultParagraphFont"/>
    <w:link w:val="CommentText"/>
    <w:uiPriority w:val="99"/>
    <w:semiHidden/>
    <w:rsid w:val="001B5D9C"/>
    <w:rPr>
      <w:sz w:val="20"/>
      <w:szCs w:val="20"/>
    </w:rPr>
  </w:style>
  <w:style w:type="paragraph" w:styleId="CommentSubject">
    <w:name w:val="annotation subject"/>
    <w:basedOn w:val="CommentText"/>
    <w:next w:val="CommentText"/>
    <w:link w:val="CommentSubjectChar"/>
    <w:uiPriority w:val="99"/>
    <w:semiHidden/>
    <w:unhideWhenUsed/>
    <w:rsid w:val="001B5D9C"/>
    <w:rPr>
      <w:b/>
      <w:bCs/>
    </w:rPr>
  </w:style>
  <w:style w:type="character" w:customStyle="1" w:styleId="CommentSubjectChar">
    <w:name w:val="Comment Subject Char"/>
    <w:basedOn w:val="CommentTextChar"/>
    <w:link w:val="CommentSubject"/>
    <w:uiPriority w:val="99"/>
    <w:semiHidden/>
    <w:rsid w:val="001B5D9C"/>
    <w:rPr>
      <w:b/>
      <w:bCs/>
      <w:sz w:val="20"/>
      <w:szCs w:val="20"/>
    </w:rPr>
  </w:style>
  <w:style w:type="paragraph" w:styleId="BalloonText">
    <w:name w:val="Balloon Text"/>
    <w:basedOn w:val="Normal"/>
    <w:link w:val="BalloonTextChar"/>
    <w:uiPriority w:val="99"/>
    <w:semiHidden/>
    <w:unhideWhenUsed/>
    <w:rsid w:val="001B5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9C"/>
    <w:rPr>
      <w:rFonts w:ascii="Segoe UI" w:hAnsi="Segoe UI" w:cs="Segoe UI"/>
      <w:sz w:val="18"/>
      <w:szCs w:val="18"/>
    </w:rPr>
  </w:style>
  <w:style w:type="character" w:styleId="PlaceholderText">
    <w:name w:val="Placeholder Text"/>
    <w:basedOn w:val="DefaultParagraphFont"/>
    <w:uiPriority w:val="99"/>
    <w:semiHidden/>
    <w:rsid w:val="00B56854"/>
    <w:rPr>
      <w:color w:val="808080"/>
    </w:rPr>
  </w:style>
  <w:style w:type="character" w:customStyle="1" w:styleId="ListParagraphChar">
    <w:name w:val="List Paragraph Char"/>
    <w:aliases w:val="F5 List Paragraph Char,List Paragraph1 Char,Dot pt Char,No Spacing1 Char,List Paragraph Char Char Char Char,Indicator Text Char,Numbered Para 1 Char,Colorful List - Accent 11 Char,Bullet 1 Char,Bullet Points Char,MAIN CONTENT Char"/>
    <w:basedOn w:val="DefaultParagraphFont"/>
    <w:link w:val="ListParagraph"/>
    <w:uiPriority w:val="34"/>
    <w:rsid w:val="00B56854"/>
  </w:style>
  <w:style w:type="paragraph" w:customStyle="1" w:styleId="Default">
    <w:name w:val="Default"/>
    <w:uiPriority w:val="99"/>
    <w:rsid w:val="00B56854"/>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3" ma:contentTypeDescription="Create a new document." ma:contentTypeScope="" ma:versionID="307345d951b11cda59b3a7615bd1bd57">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ec61d797686c4c9af69aaec47b9f87bc"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FDD52-8AC1-4D51-8E91-1D7BE47207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89975-797B-48C9-9410-070ECE4D6967}">
  <ds:schemaRefs>
    <ds:schemaRef ds:uri="http://schemas.microsoft.com/sharepoint/v3/contenttype/forms"/>
  </ds:schemaRefs>
</ds:datastoreItem>
</file>

<file path=customXml/itemProps3.xml><?xml version="1.0" encoding="utf-8"?>
<ds:datastoreItem xmlns:ds="http://schemas.openxmlformats.org/officeDocument/2006/customXml" ds:itemID="{FB3C3513-D0FE-42A8-ACCD-BC7B6E71D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11FF1-3289-43F6-8F0C-36366F7A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1024</Words>
  <Characters>5837</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UNHCR</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Beck</dc:creator>
  <cp:keywords/>
  <dc:description/>
  <cp:lastModifiedBy>Robert Hurt</cp:lastModifiedBy>
  <cp:revision>4</cp:revision>
  <dcterms:created xsi:type="dcterms:W3CDTF">2020-12-07T11:14:00Z</dcterms:created>
  <dcterms:modified xsi:type="dcterms:W3CDTF">2020-12-15T08:13:00Z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